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59828B0B" w:rsidR="00AB2BC0" w:rsidRPr="00252B62" w:rsidRDefault="00B743B4" w:rsidP="00065089">
      <w:pPr>
        <w:jc w:val="center"/>
        <w:rPr>
          <w:rFonts w:asciiTheme="minorHAnsi" w:hAnsiTheme="minorHAnsi" w:cstheme="minorHAnsi"/>
          <w:sz w:val="40"/>
          <w:szCs w:val="40"/>
        </w:rPr>
      </w:pPr>
      <w:r>
        <w:rPr>
          <w:rFonts w:asciiTheme="minorHAnsi" w:hAnsiTheme="minorHAnsi" w:cstheme="minorHAnsi"/>
          <w:sz w:val="40"/>
          <w:szCs w:val="40"/>
        </w:rPr>
        <w:t xml:space="preserve">75 </w:t>
      </w:r>
      <w:r w:rsidR="00E84537">
        <w:rPr>
          <w:rFonts w:asciiTheme="minorHAnsi" w:hAnsiTheme="minorHAnsi" w:cstheme="minorHAnsi"/>
          <w:sz w:val="40"/>
          <w:szCs w:val="40"/>
        </w:rPr>
        <w:t>H</w:t>
      </w:r>
      <w:r>
        <w:rPr>
          <w:rFonts w:asciiTheme="minorHAnsi" w:hAnsiTheme="minorHAnsi" w:cstheme="minorHAnsi"/>
          <w:sz w:val="40"/>
          <w:szCs w:val="40"/>
        </w:rPr>
        <w:t xml:space="preserve">ead </w:t>
      </w:r>
      <w:r w:rsidR="00E84537">
        <w:rPr>
          <w:rFonts w:asciiTheme="minorHAnsi" w:hAnsiTheme="minorHAnsi" w:cstheme="minorHAnsi"/>
          <w:sz w:val="40"/>
          <w:szCs w:val="40"/>
        </w:rPr>
        <w:t>M</w:t>
      </w:r>
      <w:r>
        <w:rPr>
          <w:rFonts w:asciiTheme="minorHAnsi" w:hAnsiTheme="minorHAnsi" w:cstheme="minorHAnsi"/>
          <w:sz w:val="40"/>
          <w:szCs w:val="40"/>
        </w:rPr>
        <w:t xml:space="preserve">ounted </w:t>
      </w:r>
      <w:r w:rsidR="00E84537">
        <w:rPr>
          <w:rFonts w:asciiTheme="minorHAnsi" w:hAnsiTheme="minorHAnsi" w:cstheme="minorHAnsi"/>
          <w:sz w:val="40"/>
          <w:szCs w:val="40"/>
        </w:rPr>
        <w:t>D</w:t>
      </w:r>
      <w:r>
        <w:rPr>
          <w:rFonts w:asciiTheme="minorHAnsi" w:hAnsiTheme="minorHAnsi" w:cstheme="minorHAnsi"/>
          <w:sz w:val="40"/>
          <w:szCs w:val="40"/>
        </w:rPr>
        <w:t>isplay</w:t>
      </w:r>
      <w:r w:rsidR="00E84537">
        <w:rPr>
          <w:rFonts w:asciiTheme="minorHAnsi" w:hAnsiTheme="minorHAnsi" w:cstheme="minorHAnsi"/>
          <w:sz w:val="40"/>
          <w:szCs w:val="40"/>
        </w:rPr>
        <w:t xml:space="preserve"> VR </w:t>
      </w:r>
      <w:r>
        <w:rPr>
          <w:rFonts w:asciiTheme="minorHAnsi" w:hAnsiTheme="minorHAnsi" w:cstheme="minorHAnsi"/>
          <w:sz w:val="40"/>
          <w:szCs w:val="40"/>
        </w:rPr>
        <w:t>Sets</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539DE4DA"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413656">
        <w:rPr>
          <w:rFonts w:asciiTheme="minorHAnsi" w:hAnsiTheme="minorHAnsi" w:cstheme="minorHAnsi"/>
          <w:b/>
          <w:sz w:val="28"/>
          <w:szCs w:val="28"/>
        </w:rPr>
        <w:t>13</w:t>
      </w:r>
      <w:r w:rsidR="00413656" w:rsidRPr="00413656">
        <w:rPr>
          <w:rFonts w:asciiTheme="minorHAnsi" w:hAnsiTheme="minorHAnsi" w:cstheme="minorHAnsi"/>
          <w:b/>
          <w:sz w:val="28"/>
          <w:szCs w:val="28"/>
          <w:vertAlign w:val="superscript"/>
        </w:rPr>
        <w:t>th</w:t>
      </w:r>
      <w:r w:rsidR="00413656">
        <w:rPr>
          <w:rFonts w:asciiTheme="minorHAnsi" w:hAnsiTheme="minorHAnsi" w:cstheme="minorHAnsi"/>
          <w:b/>
          <w:sz w:val="28"/>
          <w:szCs w:val="28"/>
        </w:rPr>
        <w:t xml:space="preserve"> October 10 am</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5179DC76" w:rsidR="00CF4E7F" w:rsidRDefault="00902917"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22</w:t>
            </w:r>
            <w:r w:rsidR="00E84537">
              <w:rPr>
                <w:rFonts w:asciiTheme="minorHAnsi" w:hAnsiTheme="minorHAnsi" w:cstheme="minorBidi"/>
                <w:sz w:val="24"/>
                <w:szCs w:val="24"/>
              </w:rPr>
              <w:t>/09/2022</w:t>
            </w:r>
          </w:p>
          <w:p w14:paraId="31A144A1" w14:textId="0691151F"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w:t>
            </w:r>
            <w:r w:rsidR="0075114B">
              <w:rPr>
                <w:rFonts w:asciiTheme="minorHAnsi" w:hAnsiTheme="minorHAnsi" w:cstheme="minorHAnsi"/>
                <w:sz w:val="24"/>
                <w:szCs w:val="24"/>
              </w:rPr>
              <w:t>1</w:t>
            </w:r>
          </w:p>
          <w:p w14:paraId="0BAD6C1D" w14:textId="05232DD0" w:rsidR="002A4E0D" w:rsidRPr="00252B62" w:rsidRDefault="005C5B21"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B" w14:textId="77777777" w:rsidR="00E17B85" w:rsidRPr="0062185E" w:rsidRDefault="00436480" w:rsidP="007C53CF">
      <w:pPr>
        <w:spacing w:after="0"/>
        <w:rPr>
          <w:rFonts w:asciiTheme="minorHAnsi" w:hAnsiTheme="minorHAnsi" w:cstheme="minorHAnsi"/>
          <w:b/>
          <w:color w:val="002060"/>
          <w:sz w:val="32"/>
        </w:rPr>
      </w:pPr>
      <w:r w:rsidRPr="0062185E">
        <w:rPr>
          <w:rFonts w:asciiTheme="minorHAnsi" w:hAnsiTheme="minorHAnsi" w:cstheme="minorHAnsi"/>
          <w:b/>
          <w:color w:val="002060"/>
          <w:sz w:val="32"/>
        </w:rPr>
        <w:t xml:space="preserve">Contents </w:t>
      </w:r>
    </w:p>
    <w:p w14:paraId="69A9EE16" w14:textId="3358DB7B" w:rsidR="0062185E" w:rsidRPr="00FF65A9" w:rsidRDefault="00E17B85">
      <w:pPr>
        <w:pStyle w:val="TOC1"/>
        <w:tabs>
          <w:tab w:val="left" w:pos="440"/>
          <w:tab w:val="right" w:pos="9182"/>
        </w:tabs>
        <w:rPr>
          <w:rFonts w:asciiTheme="minorHAnsi" w:eastAsiaTheme="minorEastAsia" w:hAnsiTheme="minorHAnsi" w:cstheme="minorHAnsi"/>
          <w:bCs w:val="0"/>
          <w:caps w:val="0"/>
          <w:noProof/>
          <w:szCs w:val="22"/>
          <w:lang w:eastAsia="en-GB"/>
        </w:rPr>
      </w:pPr>
      <w:r w:rsidRPr="00FF65A9">
        <w:rPr>
          <w:rFonts w:asciiTheme="minorHAnsi" w:hAnsiTheme="minorHAnsi" w:cstheme="minorHAnsi"/>
          <w:caps w:val="0"/>
          <w:sz w:val="8"/>
          <w:szCs w:val="8"/>
        </w:rPr>
        <w:fldChar w:fldCharType="begin"/>
      </w:r>
      <w:r w:rsidRPr="00FF65A9">
        <w:rPr>
          <w:rFonts w:asciiTheme="minorHAnsi" w:hAnsiTheme="minorHAnsi" w:cstheme="minorHAnsi"/>
          <w:caps w:val="0"/>
          <w:sz w:val="8"/>
          <w:szCs w:val="8"/>
        </w:rPr>
        <w:instrText xml:space="preserve"> TOC \o "1-2" \h \z \u </w:instrText>
      </w:r>
      <w:r w:rsidRPr="00FF65A9">
        <w:rPr>
          <w:rFonts w:asciiTheme="minorHAnsi" w:hAnsiTheme="minorHAnsi" w:cstheme="minorHAnsi"/>
          <w:caps w:val="0"/>
          <w:sz w:val="8"/>
          <w:szCs w:val="8"/>
        </w:rPr>
        <w:fldChar w:fldCharType="separate"/>
      </w:r>
      <w:hyperlink w:anchor="_Toc114562296" w:history="1">
        <w:r w:rsidR="0062185E" w:rsidRPr="00FF65A9">
          <w:rPr>
            <w:rStyle w:val="Hyperlink"/>
            <w:rFonts w:asciiTheme="minorHAnsi" w:hAnsiTheme="minorHAnsi" w:cstheme="minorHAnsi"/>
            <w:noProof/>
          </w:rPr>
          <w:t>0</w:t>
        </w:r>
        <w:r w:rsidR="0062185E" w:rsidRPr="00FF65A9">
          <w:rPr>
            <w:rFonts w:asciiTheme="minorHAnsi" w:eastAsiaTheme="minorEastAsia" w:hAnsiTheme="minorHAnsi" w:cstheme="minorHAnsi"/>
            <w:bCs w:val="0"/>
            <w:caps w:val="0"/>
            <w:noProof/>
            <w:szCs w:val="22"/>
            <w:lang w:eastAsia="en-GB"/>
          </w:rPr>
          <w:tab/>
        </w:r>
        <w:r w:rsidR="0062185E" w:rsidRPr="00FF65A9">
          <w:rPr>
            <w:rStyle w:val="Hyperlink"/>
            <w:rFonts w:asciiTheme="minorHAnsi" w:hAnsiTheme="minorHAnsi" w:cstheme="minorHAnsi"/>
            <w:noProof/>
          </w:rPr>
          <w:t>Introduction and general background</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_Toc114562296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371FBE86" w14:textId="25FB61AD"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297" w:history="1">
        <w:r w:rsidR="0062185E" w:rsidRPr="00FF65A9">
          <w:rPr>
            <w:rStyle w:val="Hyperlink"/>
            <w:rFonts w:asciiTheme="minorHAnsi" w:hAnsiTheme="minorHAnsi" w:cstheme="minorHAnsi"/>
            <w:noProof/>
          </w:rPr>
          <w:t>0.1</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Purpose of this tender document</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_Toc114562297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57DCF02C" w14:textId="2C5D75F7"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298" w:history="1">
        <w:r w:rsidR="0062185E" w:rsidRPr="00FF65A9">
          <w:rPr>
            <w:rStyle w:val="Hyperlink"/>
            <w:rFonts w:asciiTheme="minorHAnsi" w:hAnsiTheme="minorHAnsi" w:cstheme="minorHAnsi"/>
            <w:noProof/>
          </w:rPr>
          <w:t>0.2</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Background to this tender</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_Toc114562298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51F6AB7D" w14:textId="2238C612"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299" w:history="1">
        <w:r w:rsidR="0062185E" w:rsidRPr="00FF65A9">
          <w:rPr>
            <w:rStyle w:val="Hyperlink"/>
            <w:rFonts w:asciiTheme="minorHAnsi" w:hAnsiTheme="minorHAnsi" w:cstheme="minorHAnsi"/>
            <w:noProof/>
          </w:rPr>
          <w:t>0.3</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High level requirements</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_Toc114562299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7F1DBCA3" w14:textId="6D24843A"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0" w:history="1">
        <w:r w:rsidR="0062185E" w:rsidRPr="00FF65A9">
          <w:rPr>
            <w:rStyle w:val="Hyperlink"/>
            <w:rFonts w:asciiTheme="minorHAnsi" w:hAnsiTheme="minorHAnsi" w:cstheme="minorHAnsi"/>
            <w:noProof/>
          </w:rPr>
          <w:t>0.4</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The bidding process</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_Toc114562300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32DABE70" w14:textId="02F138CF"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1" w:history="1">
        <w:r w:rsidR="0062185E" w:rsidRPr="00FF65A9">
          <w:rPr>
            <w:rStyle w:val="Hyperlink"/>
            <w:rFonts w:asciiTheme="minorHAnsi" w:hAnsiTheme="minorHAnsi" w:cstheme="minorHAnsi"/>
            <w:noProof/>
          </w:rPr>
          <w:t>0.5</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Seeking clarification</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_Toc114562301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3</w:t>
        </w:r>
        <w:r w:rsidR="0062185E" w:rsidRPr="00FF65A9">
          <w:rPr>
            <w:rFonts w:asciiTheme="minorHAnsi" w:hAnsiTheme="minorHAnsi" w:cstheme="minorHAnsi"/>
            <w:noProof/>
            <w:webHidden/>
          </w:rPr>
          <w:fldChar w:fldCharType="end"/>
        </w:r>
      </w:hyperlink>
    </w:p>
    <w:p w14:paraId="0CC8A708" w14:textId="4560CAEF"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2" w:history="1">
        <w:r w:rsidR="0062185E" w:rsidRPr="00FF65A9">
          <w:rPr>
            <w:rStyle w:val="Hyperlink"/>
            <w:rFonts w:asciiTheme="minorHAnsi" w:hAnsiTheme="minorHAnsi" w:cstheme="minorHAnsi"/>
            <w:noProof/>
          </w:rPr>
          <w:t>0.6</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Procurement timetable</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_Toc114562302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4</w:t>
        </w:r>
        <w:r w:rsidR="0062185E" w:rsidRPr="00FF65A9">
          <w:rPr>
            <w:rFonts w:asciiTheme="minorHAnsi" w:hAnsiTheme="minorHAnsi" w:cstheme="minorHAnsi"/>
            <w:noProof/>
            <w:webHidden/>
          </w:rPr>
          <w:fldChar w:fldCharType="end"/>
        </w:r>
      </w:hyperlink>
    </w:p>
    <w:p w14:paraId="08BC974E" w14:textId="779A8D25"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3" w:history="1">
        <w:r w:rsidR="0062185E" w:rsidRPr="00FF65A9">
          <w:rPr>
            <w:rStyle w:val="Hyperlink"/>
            <w:rFonts w:asciiTheme="minorHAnsi" w:hAnsiTheme="minorHAnsi" w:cstheme="minorHAnsi"/>
            <w:noProof/>
          </w:rPr>
          <w:t>0.7</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The assessment process</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_Toc114562303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4</w:t>
        </w:r>
        <w:r w:rsidR="0062185E" w:rsidRPr="00FF65A9">
          <w:rPr>
            <w:rFonts w:asciiTheme="minorHAnsi" w:hAnsiTheme="minorHAnsi" w:cstheme="minorHAnsi"/>
            <w:noProof/>
            <w:webHidden/>
          </w:rPr>
          <w:fldChar w:fldCharType="end"/>
        </w:r>
      </w:hyperlink>
    </w:p>
    <w:p w14:paraId="4605440E" w14:textId="6946464D"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4" w:history="1">
        <w:r w:rsidR="0062185E" w:rsidRPr="00FF65A9">
          <w:rPr>
            <w:rStyle w:val="Hyperlink"/>
            <w:rFonts w:asciiTheme="minorHAnsi" w:hAnsiTheme="minorHAnsi" w:cstheme="minorHAnsi"/>
            <w:noProof/>
          </w:rPr>
          <w:t>0.8</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Confidentiality and Freedom of Information</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_Toc114562304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4</w:t>
        </w:r>
        <w:r w:rsidR="0062185E" w:rsidRPr="00FF65A9">
          <w:rPr>
            <w:rFonts w:asciiTheme="minorHAnsi" w:hAnsiTheme="minorHAnsi" w:cstheme="minorHAnsi"/>
            <w:noProof/>
            <w:webHidden/>
          </w:rPr>
          <w:fldChar w:fldCharType="end"/>
        </w:r>
      </w:hyperlink>
    </w:p>
    <w:p w14:paraId="5310BA2E" w14:textId="1EDD32B0"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5" w:history="1">
        <w:r w:rsidR="0062185E" w:rsidRPr="00FF65A9">
          <w:rPr>
            <w:rStyle w:val="Hyperlink"/>
            <w:rFonts w:asciiTheme="minorHAnsi" w:hAnsiTheme="minorHAnsi" w:cstheme="minorHAnsi"/>
            <w:noProof/>
          </w:rPr>
          <w:t>0.9</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The template for your bid/quote</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_Toc114562305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4</w:t>
        </w:r>
        <w:r w:rsidR="0062185E" w:rsidRPr="00FF65A9">
          <w:rPr>
            <w:rFonts w:asciiTheme="minorHAnsi" w:hAnsiTheme="minorHAnsi" w:cstheme="minorHAnsi"/>
            <w:noProof/>
            <w:webHidden/>
          </w:rPr>
          <w:fldChar w:fldCharType="end"/>
        </w:r>
      </w:hyperlink>
    </w:p>
    <w:p w14:paraId="43C36288" w14:textId="5CEE517D" w:rsidR="0062185E" w:rsidRPr="00FF65A9" w:rsidRDefault="005C5B21">
      <w:pPr>
        <w:pStyle w:val="TOC2"/>
        <w:tabs>
          <w:tab w:val="left" w:pos="660"/>
          <w:tab w:val="right" w:pos="9182"/>
        </w:tabs>
        <w:rPr>
          <w:rFonts w:asciiTheme="minorHAnsi" w:eastAsiaTheme="minorEastAsia" w:hAnsiTheme="minorHAnsi" w:cstheme="minorHAnsi"/>
          <w:bCs w:val="0"/>
          <w:noProof/>
          <w:szCs w:val="22"/>
          <w:lang w:eastAsia="en-GB"/>
        </w:rPr>
      </w:pPr>
      <w:hyperlink w:anchor="_Toc114562306" w:history="1">
        <w:r w:rsidR="0062185E" w:rsidRPr="00FF65A9">
          <w:rPr>
            <w:rStyle w:val="Hyperlink"/>
            <w:rFonts w:asciiTheme="minorHAnsi" w:hAnsiTheme="minorHAnsi" w:cstheme="minorHAnsi"/>
            <w:noProof/>
          </w:rPr>
          <w:t>0.10</w:t>
        </w:r>
        <w:r w:rsidR="0062185E" w:rsidRPr="00FF65A9">
          <w:rPr>
            <w:rFonts w:asciiTheme="minorHAnsi" w:eastAsiaTheme="minorEastAsia" w:hAnsiTheme="minorHAnsi" w:cstheme="minorHAnsi"/>
            <w:bCs w:val="0"/>
            <w:noProof/>
            <w:szCs w:val="22"/>
            <w:lang w:eastAsia="en-GB"/>
          </w:rPr>
          <w:tab/>
        </w:r>
        <w:r w:rsidR="0062185E" w:rsidRPr="00FF65A9">
          <w:rPr>
            <w:rStyle w:val="Hyperlink"/>
            <w:rFonts w:asciiTheme="minorHAnsi" w:hAnsiTheme="minorHAnsi" w:cstheme="minorHAnsi"/>
            <w:noProof/>
          </w:rPr>
          <w:t>The techncial requirements</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_Toc114562306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5</w:t>
        </w:r>
        <w:r w:rsidR="0062185E" w:rsidRPr="00FF65A9">
          <w:rPr>
            <w:rFonts w:asciiTheme="minorHAnsi" w:hAnsiTheme="minorHAnsi" w:cstheme="minorHAnsi"/>
            <w:noProof/>
            <w:webHidden/>
          </w:rPr>
          <w:fldChar w:fldCharType="end"/>
        </w:r>
      </w:hyperlink>
    </w:p>
    <w:p w14:paraId="39A7E3DB" w14:textId="4E7A8FF4" w:rsidR="0062185E" w:rsidRPr="00FF65A9" w:rsidRDefault="005C5B21">
      <w:pPr>
        <w:pStyle w:val="TOC1"/>
        <w:tabs>
          <w:tab w:val="right" w:pos="9182"/>
        </w:tabs>
        <w:rPr>
          <w:rFonts w:asciiTheme="minorHAnsi" w:eastAsiaTheme="minorEastAsia" w:hAnsiTheme="minorHAnsi" w:cstheme="minorHAnsi"/>
          <w:bCs w:val="0"/>
          <w:caps w:val="0"/>
          <w:noProof/>
          <w:szCs w:val="22"/>
          <w:lang w:eastAsia="en-GB"/>
        </w:rPr>
      </w:pPr>
      <w:hyperlink w:anchor="_Toc114562307" w:history="1">
        <w:r w:rsidR="0062185E" w:rsidRPr="00FF65A9">
          <w:rPr>
            <w:rStyle w:val="Hyperlink"/>
            <w:rFonts w:asciiTheme="minorHAnsi" w:hAnsiTheme="minorHAnsi" w:cstheme="minorHAnsi"/>
            <w:noProof/>
          </w:rPr>
          <w:t>Appendix 1: Social Value Model: Model Award Criteria</w:t>
        </w:r>
        <w:r w:rsidR="0062185E" w:rsidRPr="00FF65A9">
          <w:rPr>
            <w:rFonts w:asciiTheme="minorHAnsi" w:hAnsiTheme="minorHAnsi" w:cstheme="minorHAnsi"/>
            <w:noProof/>
            <w:webHidden/>
          </w:rPr>
          <w:tab/>
        </w:r>
        <w:r w:rsidR="0062185E" w:rsidRPr="00FF65A9">
          <w:rPr>
            <w:rFonts w:asciiTheme="minorHAnsi" w:hAnsiTheme="minorHAnsi" w:cstheme="minorHAnsi"/>
            <w:noProof/>
            <w:webHidden/>
          </w:rPr>
          <w:fldChar w:fldCharType="begin"/>
        </w:r>
        <w:r w:rsidR="0062185E" w:rsidRPr="00FF65A9">
          <w:rPr>
            <w:rFonts w:asciiTheme="minorHAnsi" w:hAnsiTheme="minorHAnsi" w:cstheme="minorHAnsi"/>
            <w:noProof/>
            <w:webHidden/>
          </w:rPr>
          <w:instrText xml:space="preserve"> PAGEREF _Toc114562307 \h </w:instrText>
        </w:r>
        <w:r w:rsidR="0062185E" w:rsidRPr="00FF65A9">
          <w:rPr>
            <w:rFonts w:asciiTheme="minorHAnsi" w:hAnsiTheme="minorHAnsi" w:cstheme="minorHAnsi"/>
            <w:noProof/>
            <w:webHidden/>
          </w:rPr>
        </w:r>
        <w:r w:rsidR="0062185E" w:rsidRPr="00FF65A9">
          <w:rPr>
            <w:rFonts w:asciiTheme="minorHAnsi" w:hAnsiTheme="minorHAnsi" w:cstheme="minorHAnsi"/>
            <w:noProof/>
            <w:webHidden/>
          </w:rPr>
          <w:fldChar w:fldCharType="separate"/>
        </w:r>
        <w:r w:rsidR="00FF65A9">
          <w:rPr>
            <w:rFonts w:asciiTheme="minorHAnsi" w:hAnsiTheme="minorHAnsi" w:cstheme="minorHAnsi"/>
            <w:noProof/>
            <w:webHidden/>
          </w:rPr>
          <w:t>6</w:t>
        </w:r>
        <w:r w:rsidR="0062185E" w:rsidRPr="00FF65A9">
          <w:rPr>
            <w:rFonts w:asciiTheme="minorHAnsi" w:hAnsiTheme="minorHAnsi" w:cstheme="minorHAnsi"/>
            <w:noProof/>
            <w:webHidden/>
          </w:rPr>
          <w:fldChar w:fldCharType="end"/>
        </w:r>
      </w:hyperlink>
    </w:p>
    <w:p w14:paraId="6B197426" w14:textId="20E41943" w:rsidR="00E17B85" w:rsidRPr="00324CC5" w:rsidRDefault="00E17B85" w:rsidP="00E50984">
      <w:pPr>
        <w:pStyle w:val="N"/>
        <w:rPr>
          <w:rFonts w:asciiTheme="minorHAnsi" w:hAnsiTheme="minorHAnsi" w:cstheme="minorHAnsi"/>
          <w:sz w:val="16"/>
          <w:szCs w:val="16"/>
        </w:rPr>
      </w:pPr>
      <w:r w:rsidRPr="00FF65A9">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7450B4F4" w14:textId="31C84701"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Toc114562296"/>
      <w:bookmarkStart w:id="3" w:name="_Ref414791485"/>
      <w:bookmarkStart w:id="4" w:name="_Ref414791537"/>
      <w:r w:rsidRPr="00404E45">
        <w:rPr>
          <w:rFonts w:asciiTheme="minorHAnsi" w:hAnsiTheme="minorHAnsi" w:cstheme="minorHAnsi"/>
        </w:rPr>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2"/>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11456229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6E1BD73" w:rsidR="001B2FD3"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5D2DB71F" w14:textId="77777777" w:rsidR="00B83AF2" w:rsidRPr="00404E45" w:rsidRDefault="00B83AF2" w:rsidP="001B2FD3">
      <w:pPr>
        <w:pStyle w:val="T3"/>
      </w:pPr>
    </w:p>
    <w:p w14:paraId="05D9C4DC" w14:textId="65527A85" w:rsidR="003E21BA" w:rsidRPr="00404E45" w:rsidRDefault="003E21BA" w:rsidP="00100AB0">
      <w:pPr>
        <w:pStyle w:val="T2"/>
      </w:pPr>
      <w:bookmarkStart w:id="7" w:name="_Toc114562298"/>
      <w:r w:rsidRPr="00404E45">
        <w:t>Background</w:t>
      </w:r>
      <w:r w:rsidR="00680C50" w:rsidRPr="00404E45">
        <w:t xml:space="preserve"> to this tender</w:t>
      </w:r>
      <w:bookmarkEnd w:id="7"/>
    </w:p>
    <w:p w14:paraId="466B4626" w14:textId="3407FFBB" w:rsidR="00CF4E7F" w:rsidRDefault="10AFEC4F" w:rsidP="00CF4E7F">
      <w:pPr>
        <w:pStyle w:val="T3"/>
        <w:rPr>
          <w:lang w:val="en-US"/>
        </w:rPr>
      </w:pPr>
      <w:r w:rsidRPr="4B96ADE7">
        <w:rPr>
          <w:lang w:val="en-US"/>
        </w:rPr>
        <w:t xml:space="preserve">The University of Chichester is seeking </w:t>
      </w:r>
      <w:r w:rsidR="00E84537">
        <w:rPr>
          <w:lang w:val="en-US"/>
        </w:rPr>
        <w:t xml:space="preserve">to purchase </w:t>
      </w:r>
      <w:r w:rsidR="00057E93">
        <w:rPr>
          <w:lang w:val="en-US"/>
        </w:rPr>
        <w:t xml:space="preserve">head mounted display virtual reality equipment for the purpose of supplying to schools </w:t>
      </w:r>
      <w:r w:rsidR="00A745DB">
        <w:rPr>
          <w:lang w:val="en-US"/>
        </w:rPr>
        <w:t>to support the delivery of a research project and further academic use</w:t>
      </w:r>
      <w:r w:rsidR="00E8672E">
        <w:rPr>
          <w:lang w:val="en-US"/>
        </w:rPr>
        <w:t xml:space="preserve">. </w:t>
      </w:r>
    </w:p>
    <w:p w14:paraId="31EA6C98" w14:textId="77777777" w:rsidR="00B83AF2" w:rsidRDefault="00B83AF2" w:rsidP="00CF4E7F">
      <w:pPr>
        <w:pStyle w:val="T3"/>
        <w:rPr>
          <w:lang w:val="en-US"/>
        </w:rPr>
      </w:pPr>
    </w:p>
    <w:p w14:paraId="10C4329D" w14:textId="2C130732" w:rsidR="00680C50" w:rsidRDefault="00680C50" w:rsidP="00CF4E7F">
      <w:pPr>
        <w:pStyle w:val="T2"/>
      </w:pPr>
      <w:bookmarkStart w:id="8" w:name="_Toc114562299"/>
      <w:r w:rsidRPr="00404E45">
        <w:t>High level requirements</w:t>
      </w:r>
      <w:bookmarkEnd w:id="8"/>
      <w:r w:rsidRPr="00404E45">
        <w:t xml:space="preserve"> </w:t>
      </w:r>
    </w:p>
    <w:p w14:paraId="7107D729" w14:textId="6D6D5831" w:rsidR="00450F6B" w:rsidRDefault="00806C22" w:rsidP="00D248E8">
      <w:pPr>
        <w:pStyle w:val="T3"/>
        <w:numPr>
          <w:ilvl w:val="0"/>
          <w:numId w:val="37"/>
        </w:numPr>
        <w:rPr>
          <w:lang w:val="en-US"/>
        </w:rPr>
      </w:pPr>
      <w:r>
        <w:rPr>
          <w:lang w:val="en-US"/>
        </w:rPr>
        <w:t>W</w:t>
      </w:r>
      <w:r w:rsidR="00D9405C">
        <w:rPr>
          <w:lang w:val="en-US"/>
        </w:rPr>
        <w:t xml:space="preserve">eigh less than </w:t>
      </w:r>
      <w:r w:rsidR="00B743B4">
        <w:rPr>
          <w:lang w:val="en-US"/>
        </w:rPr>
        <w:t>65</w:t>
      </w:r>
      <w:r w:rsidR="00D9405C">
        <w:rPr>
          <w:lang w:val="en-US"/>
        </w:rPr>
        <w:t>0g</w:t>
      </w:r>
      <w:r w:rsidR="00B743B4">
        <w:rPr>
          <w:lang w:val="en-US"/>
        </w:rPr>
        <w:t xml:space="preserve"> (with head strap)</w:t>
      </w:r>
      <w:r w:rsidR="002E1FF2">
        <w:rPr>
          <w:lang w:val="en-US"/>
        </w:rPr>
        <w:t xml:space="preserve">, preferably with weight distributed </w:t>
      </w:r>
      <w:r w:rsidR="00040BF3">
        <w:rPr>
          <w:lang w:val="en-US"/>
        </w:rPr>
        <w:t xml:space="preserve">rather than </w:t>
      </w:r>
      <w:r w:rsidR="003A6F57">
        <w:rPr>
          <w:lang w:val="en-US"/>
        </w:rPr>
        <w:t xml:space="preserve">all </w:t>
      </w:r>
      <w:r w:rsidR="00040BF3">
        <w:rPr>
          <w:lang w:val="en-US"/>
        </w:rPr>
        <w:t xml:space="preserve">front loading. </w:t>
      </w:r>
    </w:p>
    <w:p w14:paraId="0CD1A2CF" w14:textId="75813659" w:rsidR="00615C8F" w:rsidRDefault="00806C22" w:rsidP="00D248E8">
      <w:pPr>
        <w:pStyle w:val="T3"/>
        <w:numPr>
          <w:ilvl w:val="0"/>
          <w:numId w:val="37"/>
        </w:numPr>
        <w:rPr>
          <w:lang w:val="en-US"/>
        </w:rPr>
      </w:pPr>
      <w:r>
        <w:rPr>
          <w:lang w:val="en-US"/>
        </w:rPr>
        <w:t>A</w:t>
      </w:r>
      <w:r w:rsidR="00615C8F">
        <w:rPr>
          <w:lang w:val="en-US"/>
        </w:rPr>
        <w:t xml:space="preserve">ppropriate for </w:t>
      </w:r>
      <w:r>
        <w:rPr>
          <w:lang w:val="en-US"/>
        </w:rPr>
        <w:t xml:space="preserve">supervised use by children aged 8 and above. </w:t>
      </w:r>
    </w:p>
    <w:p w14:paraId="349F63A7" w14:textId="17544500" w:rsidR="00806C22" w:rsidRPr="00040BF3" w:rsidRDefault="00806C22" w:rsidP="00040BF3">
      <w:pPr>
        <w:pStyle w:val="T3"/>
        <w:numPr>
          <w:ilvl w:val="0"/>
          <w:numId w:val="37"/>
        </w:numPr>
        <w:rPr>
          <w:lang w:val="en-US"/>
        </w:rPr>
      </w:pPr>
      <w:r>
        <w:rPr>
          <w:lang w:val="en-US"/>
        </w:rPr>
        <w:t>Compatible with Koji’s Quest software</w:t>
      </w:r>
      <w:r w:rsidR="00040BF3">
        <w:rPr>
          <w:lang w:val="en-US"/>
        </w:rPr>
        <w:t xml:space="preserve"> </w:t>
      </w:r>
      <w:r w:rsidR="00DE14AB">
        <w:rPr>
          <w:lang w:val="en-US"/>
        </w:rPr>
        <w:t xml:space="preserve">developed by </w:t>
      </w:r>
      <w:proofErr w:type="spellStart"/>
      <w:r w:rsidR="00DE14AB">
        <w:rPr>
          <w:lang w:val="en-US"/>
        </w:rPr>
        <w:t>NeuroReality</w:t>
      </w:r>
      <w:proofErr w:type="spellEnd"/>
      <w:r w:rsidR="00DE14AB">
        <w:rPr>
          <w:lang w:val="en-US"/>
        </w:rPr>
        <w:t xml:space="preserve"> </w:t>
      </w:r>
      <w:r w:rsidR="00040BF3">
        <w:rPr>
          <w:lang w:val="en-US"/>
        </w:rPr>
        <w:t>(</w:t>
      </w:r>
      <w:r w:rsidR="00E27BF3">
        <w:rPr>
          <w:lang w:val="en-US"/>
        </w:rPr>
        <w:t xml:space="preserve">e.g., </w:t>
      </w:r>
      <w:r w:rsidR="00040BF3">
        <w:rPr>
          <w:lang w:val="en-US"/>
        </w:rPr>
        <w:t>Oculus Quest, Pico Neo</w:t>
      </w:r>
      <w:r w:rsidR="00040BF3" w:rsidRPr="00040BF3">
        <w:rPr>
          <w:lang w:val="en-US"/>
        </w:rPr>
        <w:t>)</w:t>
      </w:r>
      <w:r w:rsidRPr="00040BF3">
        <w:rPr>
          <w:lang w:val="en-US"/>
        </w:rPr>
        <w:t xml:space="preserve">. </w:t>
      </w:r>
    </w:p>
    <w:p w14:paraId="0A78BF1B" w14:textId="31AEDA26" w:rsidR="00B24284" w:rsidRDefault="00B24284" w:rsidP="00D248E8">
      <w:pPr>
        <w:pStyle w:val="T3"/>
        <w:numPr>
          <w:ilvl w:val="0"/>
          <w:numId w:val="37"/>
        </w:numPr>
        <w:rPr>
          <w:lang w:val="en-US"/>
        </w:rPr>
      </w:pPr>
      <w:r>
        <w:rPr>
          <w:lang w:val="en-US"/>
        </w:rPr>
        <w:t>Have two handheld controllers that are not attached by a wire.</w:t>
      </w:r>
    </w:p>
    <w:p w14:paraId="1BF3B88D" w14:textId="1D0A8B52" w:rsidR="00B743B4" w:rsidRDefault="00B743B4" w:rsidP="00D248E8">
      <w:pPr>
        <w:pStyle w:val="T3"/>
        <w:numPr>
          <w:ilvl w:val="0"/>
          <w:numId w:val="37"/>
        </w:numPr>
        <w:rPr>
          <w:lang w:val="en-US"/>
        </w:rPr>
      </w:pPr>
      <w:r>
        <w:rPr>
          <w:lang w:val="en-US"/>
        </w:rPr>
        <w:t>Preferably a refresh rate of 90Hz or above</w:t>
      </w:r>
    </w:p>
    <w:p w14:paraId="769926AA" w14:textId="4769A670" w:rsidR="00B24284" w:rsidRDefault="00893102" w:rsidP="00D248E8">
      <w:pPr>
        <w:pStyle w:val="T3"/>
        <w:numPr>
          <w:ilvl w:val="0"/>
          <w:numId w:val="37"/>
        </w:numPr>
        <w:rPr>
          <w:lang w:val="en-US"/>
        </w:rPr>
      </w:pPr>
      <w:r>
        <w:rPr>
          <w:lang w:val="en-US"/>
        </w:rPr>
        <w:t>Integrated speakers</w:t>
      </w:r>
    </w:p>
    <w:p w14:paraId="3B22F2C6" w14:textId="33F64427" w:rsidR="00040BF3" w:rsidRDefault="00E75F0D" w:rsidP="00D248E8">
      <w:pPr>
        <w:pStyle w:val="T3"/>
        <w:numPr>
          <w:ilvl w:val="0"/>
          <w:numId w:val="37"/>
        </w:numPr>
        <w:rPr>
          <w:lang w:val="en-US"/>
        </w:rPr>
      </w:pPr>
      <w:r>
        <w:rPr>
          <w:lang w:val="en-US"/>
        </w:rPr>
        <w:t>K</w:t>
      </w:r>
      <w:r w:rsidR="00E904E5">
        <w:rPr>
          <w:lang w:val="en-US"/>
        </w:rPr>
        <w:t xml:space="preserve">iosk Mode </w:t>
      </w:r>
      <w:r w:rsidR="00C5660D">
        <w:rPr>
          <w:lang w:val="en-US"/>
        </w:rPr>
        <w:t xml:space="preserve">Available </w:t>
      </w:r>
    </w:p>
    <w:p w14:paraId="09A16722" w14:textId="31D80B7A" w:rsidR="00DE14AB" w:rsidRDefault="00DE14AB" w:rsidP="00D248E8">
      <w:pPr>
        <w:pStyle w:val="T3"/>
        <w:numPr>
          <w:ilvl w:val="0"/>
          <w:numId w:val="37"/>
        </w:numPr>
        <w:rPr>
          <w:lang w:val="en-US"/>
        </w:rPr>
      </w:pPr>
      <w:r>
        <w:rPr>
          <w:lang w:val="en-US"/>
        </w:rPr>
        <w:t>Standalone</w:t>
      </w:r>
      <w:r w:rsidR="00B743B4">
        <w:rPr>
          <w:lang w:val="en-US"/>
        </w:rPr>
        <w:t xml:space="preserve"> VR</w:t>
      </w:r>
    </w:p>
    <w:p w14:paraId="483D140C" w14:textId="0561F4EE" w:rsidR="003A6F57" w:rsidRDefault="003A6F57" w:rsidP="00D248E8">
      <w:pPr>
        <w:pStyle w:val="T3"/>
        <w:numPr>
          <w:ilvl w:val="0"/>
          <w:numId w:val="37"/>
        </w:numPr>
        <w:rPr>
          <w:lang w:val="en-US"/>
        </w:rPr>
      </w:pPr>
      <w:r>
        <w:rPr>
          <w:lang w:val="en-US"/>
        </w:rPr>
        <w:t xml:space="preserve">Each unit should cost no more than £550. </w:t>
      </w:r>
    </w:p>
    <w:p w14:paraId="19FE113A" w14:textId="77777777" w:rsidR="003A6F57" w:rsidRDefault="003A6F57" w:rsidP="003A6F57">
      <w:pPr>
        <w:pStyle w:val="T3"/>
        <w:ind w:left="720"/>
        <w:rPr>
          <w:lang w:val="en-US"/>
        </w:rPr>
      </w:pPr>
    </w:p>
    <w:p w14:paraId="707CF38E" w14:textId="7675E717" w:rsidR="003E21BA" w:rsidRDefault="000F2C13" w:rsidP="007A484E">
      <w:pPr>
        <w:pStyle w:val="T2"/>
      </w:pPr>
      <w:bookmarkStart w:id="9" w:name="_Toc114562300"/>
      <w:r>
        <w:t xml:space="preserve">The </w:t>
      </w:r>
      <w:r w:rsidR="00C6360F">
        <w:t>b</w:t>
      </w:r>
      <w:r>
        <w:t xml:space="preserve">idding </w:t>
      </w:r>
      <w:r w:rsidR="00C6360F">
        <w:t>p</w:t>
      </w:r>
      <w:r>
        <w:t>rocess</w:t>
      </w:r>
      <w:bookmarkEnd w:id="9"/>
      <w:r>
        <w:t xml:space="preserve"> </w:t>
      </w:r>
    </w:p>
    <w:p w14:paraId="515CBE80" w14:textId="7EC26E60" w:rsidR="00576DB4" w:rsidRDefault="00576DB4" w:rsidP="00576DB4">
      <w:pPr>
        <w:pStyle w:val="T3"/>
      </w:pPr>
      <w:bookmarkStart w:id="10" w:name="_Toc94025314"/>
      <w:r>
        <w:t xml:space="preserve">We are obliged by the Public Contacts Act (2015) and by our own financial regulations to undertake a competitive process. In this case the perceived value of the tender, process requires us to obtain 3 quotations. To help us assess quotations we have added a </w:t>
      </w:r>
      <w:r w:rsidR="00755905">
        <w:t>questionnaire and</w:t>
      </w:r>
      <w:r>
        <w:t xml:space="preserve"> ask that you complete this to help us understand the value your company can achieve. </w:t>
      </w:r>
    </w:p>
    <w:p w14:paraId="6E050F63" w14:textId="376D7C69" w:rsidR="00576DB4" w:rsidRDefault="00576DB4" w:rsidP="00576DB4">
      <w:pPr>
        <w:pStyle w:val="T3"/>
      </w:pPr>
      <w:r>
        <w:t xml:space="preserve">Submission should be made by email to </w:t>
      </w:r>
      <w:hyperlink r:id="rId13" w:history="1">
        <w:r w:rsidRPr="002C0750">
          <w:rPr>
            <w:rStyle w:val="Hyperlink"/>
            <w:rFonts w:cstheme="minorHAnsi"/>
          </w:rPr>
          <w:t>tenders@chi.ac.uk</w:t>
        </w:r>
      </w:hyperlink>
      <w:r>
        <w:t xml:space="preserve">  The closing date for submission is </w:t>
      </w:r>
      <w:r w:rsidR="004D0EA8">
        <w:t>1</w:t>
      </w:r>
      <w:r w:rsidR="00762AEB">
        <w:t>3</w:t>
      </w:r>
      <w:r w:rsidR="004D0EA8" w:rsidRPr="004D0EA8">
        <w:rPr>
          <w:vertAlign w:val="superscript"/>
        </w:rPr>
        <w:t>th</w:t>
      </w:r>
      <w:r w:rsidR="004D0EA8">
        <w:t xml:space="preserve"> October. </w:t>
      </w:r>
    </w:p>
    <w:p w14:paraId="7E4A8ECC" w14:textId="77777777" w:rsidR="00FF65A9" w:rsidRDefault="00FF65A9" w:rsidP="00576DB4">
      <w:pPr>
        <w:pStyle w:val="T3"/>
      </w:pPr>
    </w:p>
    <w:p w14:paraId="53C1E078" w14:textId="77777777" w:rsidR="00665156" w:rsidRPr="00DF3161" w:rsidRDefault="00665156" w:rsidP="00665156">
      <w:pPr>
        <w:pStyle w:val="T2"/>
      </w:pPr>
      <w:bookmarkStart w:id="11" w:name="_Toc114562301"/>
      <w:r w:rsidRPr="00F00DEB">
        <w:t>Seeking clarification</w:t>
      </w:r>
      <w:bookmarkEnd w:id="11"/>
      <w:r w:rsidRPr="00F00DEB">
        <w:tab/>
      </w:r>
    </w:p>
    <w:p w14:paraId="4FCD405F" w14:textId="77777777" w:rsidR="00665156" w:rsidRDefault="00665156" w:rsidP="00665156">
      <w:pPr>
        <w:pStyle w:val="T3"/>
        <w:rPr>
          <w:rStyle w:val="Emphasis"/>
        </w:rPr>
      </w:pPr>
      <w:r>
        <w:t xml:space="preserve">For all queries please contact us by email </w:t>
      </w:r>
      <w:hyperlink r:id="rId14"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15"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bookmarkStart w:id="12" w:name="_Toc386458066"/>
      <w:bookmarkStart w:id="13" w:name="_Toc471285729"/>
      <w:bookmarkStart w:id="14" w:name="_Toc114562302"/>
      <w:bookmarkEnd w:id="10"/>
      <w:r>
        <w:lastRenderedPageBreak/>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6E48F414" w:rsidR="00054F04" w:rsidRPr="00404E45" w:rsidRDefault="00EE393A" w:rsidP="006028BF">
            <w:pPr>
              <w:pStyle w:val="T3"/>
              <w:spacing w:before="0" w:line="240" w:lineRule="auto"/>
              <w:jc w:val="center"/>
            </w:pPr>
            <w:r>
              <w:t>22/09/2022</w:t>
            </w:r>
          </w:p>
        </w:tc>
      </w:tr>
      <w:tr w:rsidR="00054F04" w:rsidRPr="00A81647" w14:paraId="6F5CA169" w14:textId="51F65B04" w:rsidTr="00CF6CDE">
        <w:trPr>
          <w:trHeight w:val="484"/>
        </w:trPr>
        <w:tc>
          <w:tcPr>
            <w:tcW w:w="5689" w:type="dxa"/>
            <w:vAlign w:val="center"/>
          </w:tcPr>
          <w:p w14:paraId="22E188D3" w14:textId="211B89BF" w:rsidR="00054F04" w:rsidRPr="00A81647" w:rsidRDefault="001F7B53" w:rsidP="006028BF">
            <w:pPr>
              <w:pStyle w:val="T3"/>
              <w:spacing w:before="0" w:line="240" w:lineRule="auto"/>
            </w:pPr>
            <w:r>
              <w:t>Closing Date for s</w:t>
            </w:r>
            <w:r w:rsidR="00054F04">
              <w:t>ubmission</w:t>
            </w:r>
          </w:p>
        </w:tc>
        <w:tc>
          <w:tcPr>
            <w:tcW w:w="3553" w:type="dxa"/>
            <w:vAlign w:val="center"/>
          </w:tcPr>
          <w:p w14:paraId="730E7973" w14:textId="4F5A9832" w:rsidR="00054F04" w:rsidRPr="00404E45" w:rsidRDefault="0006764D" w:rsidP="4B96ADE7">
            <w:pPr>
              <w:pStyle w:val="T3"/>
              <w:spacing w:before="0" w:line="240" w:lineRule="auto"/>
              <w:jc w:val="center"/>
            </w:pPr>
            <w:r>
              <w:t>13/10/2022 – 10 am</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574C26F5" w:rsidR="001B4327" w:rsidRPr="00404E45" w:rsidRDefault="000935F5" w:rsidP="000935F5">
            <w:pPr>
              <w:pStyle w:val="T3"/>
              <w:spacing w:before="0" w:line="240" w:lineRule="auto"/>
            </w:pPr>
            <w:r w:rsidRPr="00404E45">
              <w:t xml:space="preserve">  </w:t>
            </w:r>
            <w:r w:rsidR="001B4327" w:rsidRPr="00404E45">
              <w:t xml:space="preserve">Appointment Notice + </w:t>
            </w:r>
            <w:r w:rsidR="00762AEB">
              <w:t>5 Working</w:t>
            </w:r>
            <w:r w:rsidR="001B4327" w:rsidRPr="00404E45">
              <w:t xml:space="preserve"> Days</w:t>
            </w:r>
          </w:p>
        </w:tc>
      </w:tr>
    </w:tbl>
    <w:p w14:paraId="32673125" w14:textId="77777777" w:rsidR="00B83AF2" w:rsidRDefault="00B83AF2" w:rsidP="00B83AF2">
      <w:pPr>
        <w:pStyle w:val="T2"/>
        <w:numPr>
          <w:ilvl w:val="0"/>
          <w:numId w:val="0"/>
        </w:numPr>
      </w:pPr>
      <w:bookmarkStart w:id="15" w:name="_Toc114562303"/>
      <w:bookmarkStart w:id="16" w:name="_Toc386458067"/>
      <w:bookmarkStart w:id="17" w:name="_Toc471285730"/>
      <w:bookmarkStart w:id="18" w:name="_Toc471285734"/>
    </w:p>
    <w:p w14:paraId="141A96C2" w14:textId="56C72F1C" w:rsidR="007863A8" w:rsidRDefault="00DA2F07" w:rsidP="007863A8">
      <w:pPr>
        <w:pStyle w:val="T2"/>
      </w:pPr>
      <w:r>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9837D0">
        <w:tc>
          <w:tcPr>
            <w:tcW w:w="6882"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300"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9837D0">
        <w:tc>
          <w:tcPr>
            <w:tcW w:w="6882"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300" w:type="dxa"/>
          </w:tcPr>
          <w:p w14:paraId="1627ED40" w14:textId="3A7AB2C5" w:rsidR="006502A4" w:rsidRPr="00265F88" w:rsidRDefault="00DE14AB" w:rsidP="006502A4">
            <w:pPr>
              <w:ind w:left="34"/>
              <w:rPr>
                <w:rFonts w:asciiTheme="minorHAnsi" w:hAnsiTheme="minorHAnsi" w:cstheme="minorHAnsi"/>
              </w:rPr>
            </w:pPr>
            <w:r>
              <w:rPr>
                <w:rFonts w:asciiTheme="minorHAnsi" w:hAnsiTheme="minorHAnsi" w:cstheme="minorHAnsi"/>
              </w:rPr>
              <w:t>5</w:t>
            </w:r>
            <w:r w:rsidR="006502A4" w:rsidRPr="00265F88">
              <w:rPr>
                <w:rFonts w:asciiTheme="minorHAnsi" w:hAnsiTheme="minorHAnsi" w:cstheme="minorHAnsi"/>
              </w:rPr>
              <w:t>0%</w:t>
            </w:r>
          </w:p>
        </w:tc>
      </w:tr>
      <w:tr w:rsidR="006502A4" w:rsidRPr="00265F88" w14:paraId="20E9FAD1" w14:textId="77777777" w:rsidTr="009837D0">
        <w:tc>
          <w:tcPr>
            <w:tcW w:w="6882"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300" w:type="dxa"/>
          </w:tcPr>
          <w:p w14:paraId="020F52D9" w14:textId="3891683C" w:rsidR="006502A4" w:rsidRPr="00265F88" w:rsidRDefault="00DE14AB" w:rsidP="006502A4">
            <w:pPr>
              <w:ind w:left="34"/>
              <w:rPr>
                <w:rFonts w:asciiTheme="minorHAnsi" w:hAnsiTheme="minorHAnsi" w:cstheme="minorHAnsi"/>
              </w:rPr>
            </w:pPr>
            <w:r>
              <w:rPr>
                <w:rFonts w:asciiTheme="minorHAnsi" w:hAnsiTheme="minorHAnsi" w:cstheme="minorHAnsi"/>
              </w:rPr>
              <w:t>3</w:t>
            </w:r>
            <w:r w:rsidR="006502A4" w:rsidRPr="00265F88">
              <w:rPr>
                <w:rFonts w:asciiTheme="minorHAnsi" w:hAnsiTheme="minorHAnsi" w:cstheme="minorHAnsi"/>
              </w:rPr>
              <w:t>0%</w:t>
            </w:r>
          </w:p>
        </w:tc>
      </w:tr>
      <w:tr w:rsidR="006502A4" w:rsidRPr="00265F88" w14:paraId="214D232A" w14:textId="77777777" w:rsidTr="009837D0">
        <w:tc>
          <w:tcPr>
            <w:tcW w:w="6882"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300" w:type="dxa"/>
          </w:tcPr>
          <w:p w14:paraId="21B469D7" w14:textId="2F607E6F" w:rsidR="006502A4" w:rsidRPr="00265F88" w:rsidRDefault="00DE14AB" w:rsidP="006502A4">
            <w:pPr>
              <w:ind w:left="34"/>
              <w:rPr>
                <w:rFonts w:asciiTheme="minorHAnsi" w:hAnsiTheme="minorHAnsi" w:cstheme="minorHAnsi"/>
              </w:rPr>
            </w:pPr>
            <w:r>
              <w:rPr>
                <w:rFonts w:asciiTheme="minorHAnsi" w:hAnsiTheme="minorHAnsi" w:cstheme="minorHAnsi"/>
              </w:rPr>
              <w:t>1</w:t>
            </w:r>
            <w:r w:rsidR="006502A4" w:rsidRPr="00265F88">
              <w:rPr>
                <w:rFonts w:asciiTheme="minorHAnsi" w:hAnsiTheme="minorHAnsi" w:cstheme="minorHAnsi"/>
              </w:rPr>
              <w:t>0%</w:t>
            </w:r>
          </w:p>
        </w:tc>
      </w:tr>
      <w:tr w:rsidR="006502A4" w:rsidRPr="00265F88" w14:paraId="0A5FA8CD" w14:textId="77777777" w:rsidTr="009837D0">
        <w:tc>
          <w:tcPr>
            <w:tcW w:w="6882"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300" w:type="dxa"/>
          </w:tcPr>
          <w:p w14:paraId="7CF627BE" w14:textId="5703BDB8" w:rsidR="006502A4" w:rsidRPr="00265F88" w:rsidRDefault="009837D0" w:rsidP="006502A4">
            <w:pPr>
              <w:ind w:left="34"/>
              <w:rPr>
                <w:rFonts w:asciiTheme="minorHAnsi" w:hAnsiTheme="minorHAnsi" w:cstheme="minorHAnsi"/>
              </w:rPr>
            </w:pPr>
            <w:r>
              <w:rPr>
                <w:rFonts w:asciiTheme="minorHAnsi" w:hAnsiTheme="minorHAnsi" w:cstheme="minorHAnsi"/>
              </w:rPr>
              <w:t>10</w:t>
            </w:r>
            <w:r w:rsidR="006502A4" w:rsidRPr="00265F88">
              <w:rPr>
                <w:rFonts w:asciiTheme="minorHAnsi" w:hAnsiTheme="minorHAnsi" w:cstheme="minorHAnsi"/>
              </w:rPr>
              <w:t>%</w:t>
            </w:r>
          </w:p>
        </w:tc>
      </w:tr>
      <w:tr w:rsidR="006502A4" w:rsidRPr="00265F88" w14:paraId="1F55DD1B" w14:textId="77777777" w:rsidTr="009837D0">
        <w:tc>
          <w:tcPr>
            <w:tcW w:w="6882"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16" w:history="1">
              <w:r w:rsidRPr="00270252">
                <w:rPr>
                  <w:rStyle w:val="Hyperlink"/>
                  <w:rFonts w:asciiTheme="minorHAnsi" w:hAnsiTheme="minorHAnsi" w:cstheme="minorHAnsi"/>
                </w:rPr>
                <w:t>link</w:t>
              </w:r>
            </w:hyperlink>
            <w:r>
              <w:rPr>
                <w:rFonts w:asciiTheme="minorHAnsi" w:hAnsiTheme="minorHAnsi" w:cstheme="minorHAnsi"/>
              </w:rPr>
              <w:t>)</w:t>
            </w:r>
          </w:p>
        </w:tc>
        <w:tc>
          <w:tcPr>
            <w:tcW w:w="2300"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114562304"/>
      <w:r>
        <w:t>Confidentiality</w:t>
      </w:r>
      <w:bookmarkEnd w:id="19"/>
      <w:r>
        <w:t xml:space="preserve"> and Freedom of Information</w:t>
      </w:r>
      <w:bookmarkEnd w:id="20"/>
      <w:bookmarkEnd w:id="21"/>
      <w:r>
        <w:t xml:space="preserve"> </w:t>
      </w:r>
    </w:p>
    <w:p w14:paraId="7721B80C" w14:textId="3BD52877" w:rsidR="005A7E4D"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7B7E36C4" w14:textId="77777777" w:rsidR="00B83AF2" w:rsidRDefault="00B83AF2" w:rsidP="00D55D1A">
      <w:pPr>
        <w:pStyle w:val="T3"/>
      </w:pPr>
    </w:p>
    <w:p w14:paraId="6E628C92" w14:textId="790FBCE3" w:rsidR="00CB38C4" w:rsidRDefault="002A4EC1" w:rsidP="002A4EC1">
      <w:pPr>
        <w:pStyle w:val="T2"/>
      </w:pPr>
      <w:bookmarkStart w:id="22" w:name="_Toc114562305"/>
      <w:bookmarkStart w:id="23" w:name="_Toc471285736"/>
      <w:r>
        <w:t xml:space="preserve">The </w:t>
      </w:r>
      <w:r w:rsidR="00B06F46">
        <w:t xml:space="preserve">template </w:t>
      </w:r>
      <w:r w:rsidR="008069F1">
        <w:t xml:space="preserve">for </w:t>
      </w:r>
      <w:r w:rsidR="00F352F9">
        <w:t>your bid/quote</w:t>
      </w:r>
      <w:bookmarkEnd w:id="22"/>
      <w:r w:rsidR="00F352F9">
        <w:t xml:space="preserve"> </w:t>
      </w:r>
      <w:bookmarkEnd w:id="23"/>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4B90FD35" w:rsidR="00C70BB6" w:rsidRPr="00C70BB6" w:rsidRDefault="00C70BB6" w:rsidP="00D1129B">
            <w:pPr>
              <w:pStyle w:val="T3"/>
              <w:spacing w:before="0"/>
            </w:pPr>
            <w:r w:rsidRPr="00C70BB6">
              <w:t>Please describe you</w:t>
            </w:r>
            <w:r w:rsidR="00DE14AB">
              <w:t xml:space="preserve"> the type of HMD VR sets you have available and explain how they meet the criteria outlined above in the high-level requirements</w:t>
            </w:r>
            <w:r w:rsidR="009837D0">
              <w:t xml:space="preserve"> (including kiosk mode, capability with Koji’s Quest and suitability for children aged 8 and above)</w:t>
            </w:r>
            <w:r w:rsidR="00DE14AB">
              <w:t xml:space="preserve">. </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0BFDE3D1" w:rsidR="00FB4E57" w:rsidRDefault="00FB4E57" w:rsidP="00D1129B">
      <w:pPr>
        <w:pStyle w:val="T3"/>
        <w:spacing w:before="0"/>
        <w:rPr>
          <w:rFonts w:cstheme="minorHAnsi"/>
        </w:rPr>
      </w:pPr>
    </w:p>
    <w:p w14:paraId="26198B9D" w14:textId="77777777" w:rsidR="003D50C8" w:rsidRPr="00A84EC1" w:rsidRDefault="003D50C8"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40CA8251" w:rsidR="00FB4E57" w:rsidRDefault="00FB4E57" w:rsidP="00D1129B">
            <w:pPr>
              <w:pStyle w:val="T3"/>
              <w:spacing w:before="0"/>
            </w:pPr>
            <w:r w:rsidRPr="00A84EC1">
              <w:t>Please describe the</w:t>
            </w:r>
            <w:r w:rsidR="00DE14AB">
              <w:t xml:space="preserve"> cost of 75 HMD VR sets </w:t>
            </w:r>
          </w:p>
          <w:p w14:paraId="7B6CCB57" w14:textId="6DECD6CC" w:rsidR="00FB4E57" w:rsidRPr="00A84EC1" w:rsidRDefault="00DE14AB" w:rsidP="00D1129B">
            <w:pPr>
              <w:pStyle w:val="T3"/>
              <w:spacing w:before="0"/>
            </w:pPr>
            <w:r>
              <w:lastRenderedPageBreak/>
              <w:t>Please include</w:t>
            </w:r>
            <w:r w:rsidR="00E208B1">
              <w:t xml:space="preserve"> the overall cost, t</w:t>
            </w:r>
            <w:r>
              <w:t xml:space="preserve">he cost per unit, any discounts available </w:t>
            </w:r>
            <w:r w:rsidR="00E208B1">
              <w:t>for buying in</w:t>
            </w:r>
            <w:r>
              <w:t xml:space="preserve"> bulk</w:t>
            </w:r>
            <w:r w:rsidR="00E208B1">
              <w:t xml:space="preserve">, shipping costs and costs associated with installation of software.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0C1557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3</w:t>
            </w:r>
          </w:p>
        </w:tc>
        <w:tc>
          <w:tcPr>
            <w:tcW w:w="8672" w:type="dxa"/>
            <w:shd w:val="clear" w:color="auto" w:fill="BDD6EE" w:themeFill="accent1" w:themeFillTint="66"/>
            <w:vAlign w:val="center"/>
          </w:tcPr>
          <w:p w14:paraId="0E5B00A0" w14:textId="5AEA2157" w:rsidR="00FB4E57" w:rsidRDefault="00FB4E57" w:rsidP="00D1129B">
            <w:pPr>
              <w:pStyle w:val="T3"/>
              <w:spacing w:before="0"/>
            </w:pPr>
            <w:r w:rsidRPr="00A84EC1">
              <w:t xml:space="preserve">Please </w:t>
            </w:r>
            <w:r w:rsidR="00E208B1">
              <w:t xml:space="preserve">identify whether your company would be happy to support tax exemption under the criteria of </w:t>
            </w:r>
            <w:r w:rsidR="003D50C8">
              <w:t>S</w:t>
            </w:r>
            <w:r w:rsidR="00E208B1">
              <w:t xml:space="preserve">cientific </w:t>
            </w:r>
            <w:r w:rsidR="003D50C8">
              <w:t>E</w:t>
            </w:r>
            <w:r w:rsidR="00E208B1">
              <w:t>quipment</w:t>
            </w:r>
            <w:r w:rsidR="003D50C8">
              <w:t xml:space="preserve"> 4.2.3</w:t>
            </w:r>
            <w:r w:rsidR="00E208B1">
              <w:t xml:space="preserve"> </w:t>
            </w:r>
            <w:r w:rsidR="009837D0">
              <w:t>(please note this may not apply if your organisation is not based in the UK).</w:t>
            </w:r>
            <w:r w:rsidRPr="00A84EC1">
              <w:t xml:space="preserve">  </w:t>
            </w:r>
          </w:p>
          <w:p w14:paraId="2889EBC8" w14:textId="236301CA" w:rsidR="00E208B1" w:rsidRPr="00A84EC1" w:rsidRDefault="005C5B21" w:rsidP="00D1129B">
            <w:pPr>
              <w:pStyle w:val="T3"/>
              <w:spacing w:before="0"/>
            </w:pPr>
            <w:hyperlink r:id="rId17" w:anchor="sect421" w:tgtFrame="_blank" w:history="1">
              <w:r w:rsidR="00E208B1" w:rsidRPr="00E208B1">
                <w:rPr>
                  <w:rStyle w:val="Hyperlink"/>
                  <w:rFonts w:cs="Calibri"/>
                  <w:sz w:val="22"/>
                  <w:szCs w:val="22"/>
                  <w:bdr w:val="none" w:sz="0" w:space="0" w:color="auto" w:frame="1"/>
                </w:rPr>
                <w:t>https://www.gov.uk/guidance/charity-funded-equipment-for-medical-and-veterinary-uses-notice-7016#sect421</w:t>
              </w:r>
            </w:hyperlink>
          </w:p>
        </w:tc>
      </w:tr>
      <w:tr w:rsidR="00FB4E57" w:rsidRPr="00A84EC1" w14:paraId="73D5419B" w14:textId="77777777" w:rsidTr="00FB4E57">
        <w:trPr>
          <w:trHeight w:val="963"/>
        </w:trPr>
        <w:tc>
          <w:tcPr>
            <w:tcW w:w="9164" w:type="dxa"/>
            <w:gridSpan w:val="2"/>
          </w:tcPr>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9837D0" w:rsidRPr="00A84EC1" w14:paraId="3AEB32C9" w14:textId="77777777" w:rsidTr="009837D0">
        <w:trPr>
          <w:trHeight w:val="354"/>
        </w:trPr>
        <w:tc>
          <w:tcPr>
            <w:tcW w:w="493" w:type="dxa"/>
            <w:shd w:val="clear" w:color="auto" w:fill="BDD6EE" w:themeFill="accent1" w:themeFillTint="66"/>
            <w:vAlign w:val="center"/>
          </w:tcPr>
          <w:p w14:paraId="38DFBF18" w14:textId="23F8698F" w:rsidR="009837D0" w:rsidRPr="00A84EC1" w:rsidRDefault="009837D0" w:rsidP="009837D0">
            <w:pPr>
              <w:pStyle w:val="T3"/>
              <w:spacing w:before="0"/>
              <w:rPr>
                <w:rFonts w:asciiTheme="minorHAnsi" w:hAnsiTheme="minorHAnsi" w:cstheme="minorHAnsi"/>
              </w:rPr>
            </w:pPr>
            <w:r>
              <w:rPr>
                <w:rFonts w:asciiTheme="minorHAnsi" w:hAnsiTheme="minorHAnsi" w:cstheme="minorHAnsi"/>
              </w:rPr>
              <w:t>4</w:t>
            </w:r>
          </w:p>
        </w:tc>
        <w:tc>
          <w:tcPr>
            <w:tcW w:w="8708" w:type="dxa"/>
            <w:shd w:val="clear" w:color="auto" w:fill="BDD6EE" w:themeFill="accent1" w:themeFillTint="66"/>
            <w:vAlign w:val="center"/>
          </w:tcPr>
          <w:p w14:paraId="7AB2DD92" w14:textId="3BCE495E" w:rsidR="009837D0" w:rsidRPr="00A84EC1" w:rsidRDefault="009837D0" w:rsidP="009837D0">
            <w:pPr>
              <w:pStyle w:val="T3"/>
              <w:spacing w:before="0"/>
            </w:pPr>
            <w:r w:rsidRPr="00A84EC1">
              <w:t>Please</w:t>
            </w:r>
            <w:r>
              <w:t xml:space="preserve"> describe any added value you can provide (e.g., technical support, cases, branding etc.). </w:t>
            </w:r>
          </w:p>
        </w:tc>
      </w:tr>
      <w:tr w:rsidR="009837D0" w:rsidRPr="00A84EC1" w14:paraId="0C4884F7" w14:textId="77777777" w:rsidTr="00F43804">
        <w:trPr>
          <w:trHeight w:val="767"/>
        </w:trPr>
        <w:tc>
          <w:tcPr>
            <w:tcW w:w="9201" w:type="dxa"/>
            <w:gridSpan w:val="2"/>
          </w:tcPr>
          <w:p w14:paraId="6C080F86" w14:textId="77777777" w:rsidR="009837D0" w:rsidRPr="00A84EC1" w:rsidRDefault="009837D0" w:rsidP="009837D0">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03"/>
        <w:gridCol w:w="8706"/>
      </w:tblGrid>
      <w:tr w:rsidR="00FB4E57" w:rsidRPr="00A84EC1" w14:paraId="149D5294" w14:textId="77777777" w:rsidTr="00AF5D7A">
        <w:trPr>
          <w:trHeight w:val="296"/>
        </w:trPr>
        <w:tc>
          <w:tcPr>
            <w:tcW w:w="503" w:type="dxa"/>
            <w:shd w:val="clear" w:color="auto" w:fill="BDD6EE" w:themeFill="accent1" w:themeFillTint="66"/>
            <w:vAlign w:val="center"/>
          </w:tcPr>
          <w:p w14:paraId="54C512A7" w14:textId="0F519377" w:rsidR="00FB4E57" w:rsidRPr="00A84EC1" w:rsidRDefault="005C5B21" w:rsidP="00D1129B">
            <w:pPr>
              <w:pStyle w:val="T3"/>
              <w:spacing w:before="0"/>
              <w:rPr>
                <w:rFonts w:asciiTheme="minorHAnsi" w:hAnsiTheme="minorHAnsi" w:cstheme="minorHAnsi"/>
              </w:rPr>
            </w:pPr>
            <w:r>
              <w:rPr>
                <w:rFonts w:asciiTheme="minorHAnsi" w:hAnsiTheme="minorHAnsi" w:cstheme="minorHAnsi"/>
              </w:rPr>
              <w:t>5</w:t>
            </w:r>
            <w:bookmarkStart w:id="24" w:name="_GoBack"/>
            <w:bookmarkEnd w:id="24"/>
          </w:p>
        </w:tc>
        <w:tc>
          <w:tcPr>
            <w:tcW w:w="8706"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AF5D7A">
        <w:trPr>
          <w:trHeight w:val="756"/>
        </w:trPr>
        <w:tc>
          <w:tcPr>
            <w:tcW w:w="9209"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305FB271" w14:textId="77777777" w:rsidR="00AF5D7A" w:rsidRDefault="00AF5D7A" w:rsidP="00AF5D7A">
      <w:pPr>
        <w:pStyle w:val="T2"/>
        <w:numPr>
          <w:ilvl w:val="0"/>
          <w:numId w:val="0"/>
        </w:numPr>
      </w:pPr>
    </w:p>
    <w:p w14:paraId="778C136A" w14:textId="7E26C4FA" w:rsidR="00795EB8" w:rsidRDefault="00795EB8" w:rsidP="00583878">
      <w:pPr>
        <w:pStyle w:val="T2"/>
      </w:pPr>
      <w:bookmarkStart w:id="25" w:name="_Toc114562306"/>
      <w:r>
        <w:t>The techncial requirements</w:t>
      </w:r>
      <w:bookmarkEnd w:id="25"/>
      <w:r>
        <w:t xml:space="preserve">  </w:t>
      </w:r>
    </w:p>
    <w:p w14:paraId="693E790A" w14:textId="2D31F7EB" w:rsidR="008F3B50" w:rsidRDefault="00795EB8" w:rsidP="00795EB8">
      <w:pPr>
        <w:pStyle w:val="T3"/>
        <w:rPr>
          <w:rFonts w:cstheme="minorHAnsi"/>
        </w:rPr>
      </w:pPr>
      <w:r>
        <w:rPr>
          <w:rFonts w:cstheme="minorHAnsi"/>
        </w:rPr>
        <w:t xml:space="preserve">To comply with the Public </w:t>
      </w:r>
      <w:proofErr w:type="gramStart"/>
      <w:r>
        <w:rPr>
          <w:rFonts w:cstheme="minorHAnsi"/>
        </w:rPr>
        <w:t>Contracts</w:t>
      </w:r>
      <w:proofErr w:type="gramEnd"/>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 xml:space="preserve">As well as ensuring suitability </w:t>
      </w:r>
      <w:proofErr w:type="gramStart"/>
      <w:r w:rsidR="00B32262">
        <w:rPr>
          <w:rFonts w:cstheme="minorHAnsi"/>
        </w:rPr>
        <w:t>and  value</w:t>
      </w:r>
      <w:proofErr w:type="gramEnd"/>
      <w:r w:rsidR="00B32262">
        <w:rPr>
          <w:rFonts w:cstheme="minorHAnsi"/>
        </w:rPr>
        <w:t xml:space="preserv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w:t>
      </w:r>
      <w:r w:rsidRPr="009837D0">
        <w:rPr>
          <w:rFonts w:cstheme="minorHAnsi"/>
        </w:rPr>
        <w:t xml:space="preserve">in </w:t>
      </w:r>
      <w:r w:rsidRPr="009837D0">
        <w:rPr>
          <w:rFonts w:cstheme="minorHAnsi"/>
          <w:b/>
        </w:rPr>
        <w:t xml:space="preserve">Appendix </w:t>
      </w:r>
      <w:r w:rsidR="00193E84" w:rsidRPr="009837D0">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18"/>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6" w:name="_Toc114562307"/>
      <w:r>
        <w:lastRenderedPageBreak/>
        <w:t xml:space="preserve">Appendix </w:t>
      </w:r>
      <w:r w:rsidR="00193E84">
        <w:t>1</w:t>
      </w:r>
      <w:r>
        <w:t>: S</w:t>
      </w:r>
      <w:r w:rsidR="00F1788E">
        <w:t xml:space="preserve">ocial </w:t>
      </w:r>
      <w:r>
        <w:t>V</w:t>
      </w:r>
      <w:r w:rsidR="00F1788E">
        <w:t>alue Model</w:t>
      </w:r>
      <w:r>
        <w:t>: Model Award Criteria</w:t>
      </w:r>
      <w:bookmarkEnd w:id="26"/>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3E15" w14:textId="77777777" w:rsidR="00D634DD" w:rsidRDefault="00D634DD" w:rsidP="00C379D5">
      <w:pPr>
        <w:spacing w:after="0" w:line="240" w:lineRule="auto"/>
      </w:pPr>
      <w:r>
        <w:separator/>
      </w:r>
    </w:p>
    <w:p w14:paraId="1EAA604E" w14:textId="77777777" w:rsidR="00D634DD" w:rsidRDefault="00D634DD"/>
  </w:endnote>
  <w:endnote w:type="continuationSeparator" w:id="0">
    <w:p w14:paraId="125BC654" w14:textId="77777777" w:rsidR="00D634DD" w:rsidRDefault="00D634DD" w:rsidP="00C379D5">
      <w:pPr>
        <w:spacing w:after="0" w:line="240" w:lineRule="auto"/>
      </w:pPr>
      <w:r>
        <w:continuationSeparator/>
      </w:r>
    </w:p>
    <w:p w14:paraId="65D4325F" w14:textId="77777777" w:rsidR="00D634DD" w:rsidRDefault="00D634DD"/>
  </w:endnote>
  <w:endnote w:type="continuationNotice" w:id="1">
    <w:p w14:paraId="64AC0380" w14:textId="77777777" w:rsidR="00D634DD" w:rsidRDefault="00D634DD">
      <w:pPr>
        <w:spacing w:after="0" w:line="240" w:lineRule="auto"/>
      </w:pPr>
    </w:p>
    <w:p w14:paraId="360F445B" w14:textId="77777777" w:rsidR="00D634DD" w:rsidRDefault="00D63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182C" w14:textId="77777777" w:rsidR="00D634DD" w:rsidRDefault="00D634DD" w:rsidP="00C379D5">
      <w:pPr>
        <w:spacing w:after="0" w:line="240" w:lineRule="auto"/>
      </w:pPr>
      <w:r>
        <w:separator/>
      </w:r>
    </w:p>
    <w:p w14:paraId="679E25DA" w14:textId="77777777" w:rsidR="00D634DD" w:rsidRDefault="00D634DD"/>
  </w:footnote>
  <w:footnote w:type="continuationSeparator" w:id="0">
    <w:p w14:paraId="74BD3E55" w14:textId="77777777" w:rsidR="00D634DD" w:rsidRDefault="00D634DD" w:rsidP="00C379D5">
      <w:pPr>
        <w:spacing w:after="0" w:line="240" w:lineRule="auto"/>
      </w:pPr>
      <w:r>
        <w:continuationSeparator/>
      </w:r>
    </w:p>
    <w:p w14:paraId="1B0D49FA" w14:textId="77777777" w:rsidR="00D634DD" w:rsidRDefault="00D634DD"/>
  </w:footnote>
  <w:footnote w:type="continuationNotice" w:id="1">
    <w:p w14:paraId="74C0A72C" w14:textId="77777777" w:rsidR="00D634DD" w:rsidRDefault="00D634DD">
      <w:pPr>
        <w:spacing w:after="0" w:line="240" w:lineRule="auto"/>
      </w:pPr>
    </w:p>
    <w:p w14:paraId="1DDA2F8F" w14:textId="77777777" w:rsidR="00D634DD" w:rsidRDefault="00D634DD"/>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93E3F"/>
    <w:multiLevelType w:val="hybridMultilevel"/>
    <w:tmpl w:val="66DE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3"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3"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1"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2"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0"/>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31"/>
  </w:num>
  <w:num w:numId="12">
    <w:abstractNumId w:val="10"/>
  </w:num>
  <w:num w:numId="13">
    <w:abstractNumId w:val="35"/>
  </w:num>
  <w:num w:numId="14">
    <w:abstractNumId w:val="12"/>
  </w:num>
  <w:num w:numId="15">
    <w:abstractNumId w:val="30"/>
  </w:num>
  <w:num w:numId="16">
    <w:abstractNumId w:val="23"/>
  </w:num>
  <w:num w:numId="17">
    <w:abstractNumId w:val="27"/>
  </w:num>
  <w:num w:numId="18">
    <w:abstractNumId w:val="13"/>
  </w:num>
  <w:num w:numId="19">
    <w:abstractNumId w:val="26"/>
  </w:num>
  <w:num w:numId="20">
    <w:abstractNumId w:val="18"/>
  </w:num>
  <w:num w:numId="21">
    <w:abstractNumId w:val="8"/>
  </w:num>
  <w:num w:numId="22">
    <w:abstractNumId w:val="19"/>
  </w:num>
  <w:num w:numId="23">
    <w:abstractNumId w:val="16"/>
  </w:num>
  <w:num w:numId="24">
    <w:abstractNumId w:val="32"/>
  </w:num>
  <w:num w:numId="25">
    <w:abstractNumId w:val="28"/>
  </w:num>
  <w:num w:numId="26">
    <w:abstractNumId w:val="21"/>
  </w:num>
  <w:num w:numId="27">
    <w:abstractNumId w:val="9"/>
  </w:num>
  <w:num w:numId="28">
    <w:abstractNumId w:val="25"/>
  </w:num>
  <w:num w:numId="29">
    <w:abstractNumId w:val="17"/>
  </w:num>
  <w:num w:numId="30">
    <w:abstractNumId w:val="0"/>
  </w:num>
  <w:num w:numId="31">
    <w:abstractNumId w:val="34"/>
  </w:num>
  <w:num w:numId="32">
    <w:abstractNumId w:val="6"/>
  </w:num>
  <w:num w:numId="33">
    <w:abstractNumId w:val="1"/>
  </w:num>
  <w:num w:numId="34">
    <w:abstractNumId w:val="24"/>
  </w:num>
  <w:num w:numId="35">
    <w:abstractNumId w:val="4"/>
  </w:num>
  <w:num w:numId="36">
    <w:abstractNumId w:val="7"/>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0BF3"/>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57E93"/>
    <w:rsid w:val="000600D1"/>
    <w:rsid w:val="000602E0"/>
    <w:rsid w:val="00062163"/>
    <w:rsid w:val="000627C1"/>
    <w:rsid w:val="000628D4"/>
    <w:rsid w:val="00062ECD"/>
    <w:rsid w:val="00065089"/>
    <w:rsid w:val="00066BD5"/>
    <w:rsid w:val="0006764D"/>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C80"/>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272"/>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1FF2"/>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06E"/>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6F57"/>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2257"/>
    <w:rsid w:val="003D3E68"/>
    <w:rsid w:val="003D43FE"/>
    <w:rsid w:val="003D480D"/>
    <w:rsid w:val="003D48D9"/>
    <w:rsid w:val="003D50C8"/>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3656"/>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0EA8"/>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06B"/>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25A0"/>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489"/>
    <w:rsid w:val="00574D6C"/>
    <w:rsid w:val="005751B7"/>
    <w:rsid w:val="00575D5F"/>
    <w:rsid w:val="005765DA"/>
    <w:rsid w:val="00576A10"/>
    <w:rsid w:val="00576DB4"/>
    <w:rsid w:val="00580D1A"/>
    <w:rsid w:val="00583155"/>
    <w:rsid w:val="005837B7"/>
    <w:rsid w:val="00583878"/>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882"/>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B21"/>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5C8F"/>
    <w:rsid w:val="00616B5B"/>
    <w:rsid w:val="00617742"/>
    <w:rsid w:val="00620A25"/>
    <w:rsid w:val="00621400"/>
    <w:rsid w:val="0062185E"/>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F35"/>
    <w:rsid w:val="00656187"/>
    <w:rsid w:val="006566AF"/>
    <w:rsid w:val="0065696A"/>
    <w:rsid w:val="00657788"/>
    <w:rsid w:val="0066175B"/>
    <w:rsid w:val="00665156"/>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92D"/>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14B"/>
    <w:rsid w:val="00751FDB"/>
    <w:rsid w:val="00753F05"/>
    <w:rsid w:val="00755905"/>
    <w:rsid w:val="00755AA8"/>
    <w:rsid w:val="0075630E"/>
    <w:rsid w:val="00760C79"/>
    <w:rsid w:val="00761487"/>
    <w:rsid w:val="00762AEB"/>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9F1"/>
    <w:rsid w:val="00806C22"/>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102"/>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301F"/>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917"/>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27F65"/>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37D0"/>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5DB"/>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5D7A"/>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4284"/>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3B4"/>
    <w:rsid w:val="00B74F1D"/>
    <w:rsid w:val="00B75EFB"/>
    <w:rsid w:val="00B762F4"/>
    <w:rsid w:val="00B770B9"/>
    <w:rsid w:val="00B8098D"/>
    <w:rsid w:val="00B80A17"/>
    <w:rsid w:val="00B81FBB"/>
    <w:rsid w:val="00B82095"/>
    <w:rsid w:val="00B82F53"/>
    <w:rsid w:val="00B83AF2"/>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5660D"/>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48E8"/>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34DD"/>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05C"/>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4AB"/>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08B1"/>
    <w:rsid w:val="00E2110E"/>
    <w:rsid w:val="00E21357"/>
    <w:rsid w:val="00E21A48"/>
    <w:rsid w:val="00E26D9D"/>
    <w:rsid w:val="00E27BF3"/>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5F0D"/>
    <w:rsid w:val="00E76888"/>
    <w:rsid w:val="00E84537"/>
    <w:rsid w:val="00E8536F"/>
    <w:rsid w:val="00E8579C"/>
    <w:rsid w:val="00E86530"/>
    <w:rsid w:val="00E8672E"/>
    <w:rsid w:val="00E86D48"/>
    <w:rsid w:val="00E87DA0"/>
    <w:rsid w:val="00E904E5"/>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393A"/>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5A9"/>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hi.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https://www.gov.uk/guidance/charity-funded-equipment-for-medical-and-veterinary-uses-notice-7016"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8520/PPN_8_16_StandardSQ_Template_v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lp.chi.ac.uk/ten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2022-09-20T09:29:05+00:00</DateofTen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E797-E3E8-44FF-9824-7D85CC9A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AADDEF49-8DAF-4320-A82C-91FB34F77F3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134145b-6e99-458e-8764-f8205c3a086d"/>
    <ds:schemaRef ds:uri="9e790679-42de-4090-b410-de3b52e99e34"/>
    <ds:schemaRef ds:uri="http://www.w3.org/XML/1998/namespace"/>
    <ds:schemaRef ds:uri="http://purl.org/dc/dcmitype/"/>
  </ds:schemaRefs>
</ds:datastoreItem>
</file>

<file path=customXml/itemProps4.xml><?xml version="1.0" encoding="utf-8"?>
<ds:datastoreItem xmlns:ds="http://schemas.openxmlformats.org/officeDocument/2006/customXml" ds:itemID="{291732F8-2E01-48DD-A753-98BE9FD6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3</cp:revision>
  <cp:lastPrinted>2016-04-20T12:00:00Z</cp:lastPrinted>
  <dcterms:created xsi:type="dcterms:W3CDTF">2022-09-20T10:08:00Z</dcterms:created>
  <dcterms:modified xsi:type="dcterms:W3CDTF">2022-09-20T12:22:00Z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