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BCF8" w14:textId="77777777" w:rsidR="004E70A9" w:rsidRDefault="00575985" w:rsidP="009F0A59">
      <w:pPr>
        <w:pStyle w:val="T1"/>
      </w:pPr>
      <w:r w:rsidRPr="00575985">
        <w:t>Scoring Methodology</w:t>
      </w:r>
      <w:bookmarkStart w:id="0" w:name="_GoBack"/>
      <w:bookmarkEnd w:id="0"/>
    </w:p>
    <w:p w14:paraId="392D6D61" w14:textId="77777777" w:rsidR="00575985" w:rsidRDefault="00575985" w:rsidP="00575985"/>
    <w:tbl>
      <w:tblPr>
        <w:tblW w:w="5000" w:type="pct"/>
        <w:tblLook w:val="04A0" w:firstRow="1" w:lastRow="0" w:firstColumn="1" w:lastColumn="0" w:noHBand="0" w:noVBand="1"/>
      </w:tblPr>
      <w:tblGrid>
        <w:gridCol w:w="846"/>
        <w:gridCol w:w="1684"/>
        <w:gridCol w:w="6486"/>
      </w:tblGrid>
      <w:tr w:rsidR="00575985" w:rsidRPr="00565003" w14:paraId="3B712F80" w14:textId="77777777" w:rsidTr="000378C3">
        <w:trPr>
          <w:trHeight w:val="877"/>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CA02AC" w14:textId="77777777" w:rsidR="00575985" w:rsidRPr="00565003" w:rsidRDefault="00575985" w:rsidP="000378C3">
            <w:pPr>
              <w:pStyle w:val="T3"/>
              <w:jc w:val="left"/>
              <w:rPr>
                <w:b/>
                <w:color w:val="000000" w:themeColor="text1"/>
              </w:rPr>
            </w:pPr>
            <w:r w:rsidRPr="00565003">
              <w:rPr>
                <w:b/>
                <w:color w:val="000000" w:themeColor="text1"/>
              </w:rPr>
              <w:t>0</w:t>
            </w:r>
          </w:p>
        </w:tc>
        <w:tc>
          <w:tcPr>
            <w:tcW w:w="934" w:type="pct"/>
            <w:tcBorders>
              <w:top w:val="single" w:sz="4" w:space="0" w:color="auto"/>
              <w:left w:val="nil"/>
              <w:bottom w:val="single" w:sz="4" w:space="0" w:color="auto"/>
              <w:right w:val="single" w:sz="4" w:space="0" w:color="auto"/>
            </w:tcBorders>
            <w:shd w:val="clear" w:color="000000" w:fill="FFFFFF"/>
            <w:vAlign w:val="center"/>
            <w:hideMark/>
          </w:tcPr>
          <w:p w14:paraId="46D5518F" w14:textId="77777777" w:rsidR="00575985" w:rsidRPr="00565003" w:rsidRDefault="00575985" w:rsidP="000378C3">
            <w:pPr>
              <w:pStyle w:val="T3"/>
              <w:jc w:val="left"/>
              <w:rPr>
                <w:b/>
                <w:color w:val="000000" w:themeColor="text1"/>
              </w:rPr>
            </w:pPr>
            <w:r w:rsidRPr="00565003">
              <w:rPr>
                <w:b/>
                <w:color w:val="000000" w:themeColor="text1"/>
              </w:rPr>
              <w:t>Unacceptable</w:t>
            </w:r>
          </w:p>
        </w:tc>
        <w:tc>
          <w:tcPr>
            <w:tcW w:w="3597" w:type="pct"/>
            <w:tcBorders>
              <w:top w:val="single" w:sz="4" w:space="0" w:color="auto"/>
              <w:left w:val="nil"/>
              <w:bottom w:val="single" w:sz="4" w:space="0" w:color="auto"/>
              <w:right w:val="single" w:sz="4" w:space="0" w:color="auto"/>
            </w:tcBorders>
            <w:shd w:val="clear" w:color="000000" w:fill="FFFFFF"/>
            <w:hideMark/>
          </w:tcPr>
          <w:p w14:paraId="00A6A2F6" w14:textId="77777777" w:rsidR="00575985" w:rsidRDefault="00575985" w:rsidP="000378C3">
            <w:pPr>
              <w:pStyle w:val="T3"/>
              <w:rPr>
                <w:color w:val="000000" w:themeColor="text1"/>
              </w:rPr>
            </w:pPr>
            <w:r w:rsidRPr="00565003">
              <w:rPr>
                <w:color w:val="000000" w:themeColor="text1"/>
              </w:rPr>
              <w:t>The response does not demonstrate that the supplier understands and/or does not demonstrate that the proposal will deliver the requirements in relation to the services.</w:t>
            </w:r>
          </w:p>
          <w:p w14:paraId="13C659D6" w14:textId="77777777" w:rsidR="00575985" w:rsidRPr="00565003" w:rsidRDefault="00575985" w:rsidP="000378C3">
            <w:pPr>
              <w:pStyle w:val="T3"/>
              <w:rPr>
                <w:color w:val="000000" w:themeColor="text1"/>
              </w:rPr>
            </w:pPr>
            <w:r w:rsidRPr="00565003">
              <w:rPr>
                <w:color w:val="000000" w:themeColor="text1"/>
              </w:rPr>
              <w:t xml:space="preserve">No supporting information provided to evidence understanding and/or deliverability of the proposal. </w:t>
            </w:r>
          </w:p>
        </w:tc>
      </w:tr>
      <w:tr w:rsidR="00575985" w:rsidRPr="00565003" w14:paraId="29C51BC4" w14:textId="77777777" w:rsidTr="000378C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00380ECB" w14:textId="77777777" w:rsidR="00575985" w:rsidRPr="00565003" w:rsidRDefault="00575985" w:rsidP="000378C3">
            <w:pPr>
              <w:pStyle w:val="T3"/>
              <w:jc w:val="left"/>
              <w:rPr>
                <w:b/>
                <w:color w:val="000000" w:themeColor="text1"/>
              </w:rPr>
            </w:pPr>
            <w:r w:rsidRPr="00565003">
              <w:rPr>
                <w:b/>
                <w:color w:val="000000" w:themeColor="text1"/>
              </w:rPr>
              <w:t>1</w:t>
            </w:r>
          </w:p>
        </w:tc>
        <w:tc>
          <w:tcPr>
            <w:tcW w:w="934" w:type="pct"/>
            <w:tcBorders>
              <w:top w:val="nil"/>
              <w:left w:val="nil"/>
              <w:bottom w:val="single" w:sz="4" w:space="0" w:color="auto"/>
              <w:right w:val="single" w:sz="4" w:space="0" w:color="auto"/>
            </w:tcBorders>
            <w:shd w:val="clear" w:color="000000" w:fill="FFFFFF"/>
            <w:vAlign w:val="center"/>
            <w:hideMark/>
          </w:tcPr>
          <w:p w14:paraId="019C2FE8" w14:textId="77777777" w:rsidR="00575985" w:rsidRPr="00565003" w:rsidRDefault="00575985" w:rsidP="000378C3">
            <w:pPr>
              <w:pStyle w:val="T3"/>
              <w:jc w:val="left"/>
              <w:rPr>
                <w:b/>
                <w:color w:val="000000" w:themeColor="text1"/>
              </w:rPr>
            </w:pPr>
            <w:r w:rsidRPr="00565003">
              <w:rPr>
                <w:b/>
                <w:color w:val="000000" w:themeColor="text1"/>
              </w:rPr>
              <w:t>Unsatisfactory</w:t>
            </w:r>
          </w:p>
        </w:tc>
        <w:tc>
          <w:tcPr>
            <w:tcW w:w="3597" w:type="pct"/>
            <w:tcBorders>
              <w:top w:val="nil"/>
              <w:left w:val="nil"/>
              <w:bottom w:val="single" w:sz="4" w:space="0" w:color="auto"/>
              <w:right w:val="single" w:sz="4" w:space="0" w:color="auto"/>
            </w:tcBorders>
            <w:shd w:val="clear" w:color="000000" w:fill="FFFFFF"/>
            <w:hideMark/>
          </w:tcPr>
          <w:p w14:paraId="5FE68690" w14:textId="77777777" w:rsidR="00575985" w:rsidRPr="00565003" w:rsidRDefault="00575985" w:rsidP="000378C3">
            <w:pPr>
              <w:pStyle w:val="T3"/>
              <w:rPr>
                <w:color w:val="000000" w:themeColor="text1"/>
              </w:rPr>
            </w:pPr>
            <w:r w:rsidRPr="00565003">
              <w:rPr>
                <w:color w:val="000000" w:themeColor="text1"/>
              </w:rPr>
              <w:t>There are major reservations that the supplier understands and/or that the proposals will deliver the requirements in relation to the services.</w:t>
            </w:r>
            <w:r w:rsidRPr="00565003">
              <w:rPr>
                <w:color w:val="000000" w:themeColor="text1"/>
              </w:rPr>
              <w:br/>
              <w:t xml:space="preserve">Limited or irrelevant supporting information provided to evidence understanding and/or deliverability of the proposal. </w:t>
            </w:r>
          </w:p>
        </w:tc>
      </w:tr>
      <w:tr w:rsidR="00575985" w:rsidRPr="00565003" w14:paraId="689EF06C" w14:textId="77777777" w:rsidTr="000378C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09C6F803" w14:textId="77777777" w:rsidR="00575985" w:rsidRPr="00565003" w:rsidRDefault="00575985" w:rsidP="000378C3">
            <w:pPr>
              <w:pStyle w:val="T3"/>
              <w:jc w:val="left"/>
              <w:rPr>
                <w:b/>
                <w:color w:val="000000" w:themeColor="text1"/>
              </w:rPr>
            </w:pPr>
            <w:r>
              <w:rPr>
                <w:b/>
                <w:color w:val="000000" w:themeColor="text1"/>
              </w:rPr>
              <w:t>2</w:t>
            </w:r>
          </w:p>
        </w:tc>
        <w:tc>
          <w:tcPr>
            <w:tcW w:w="934" w:type="pct"/>
            <w:tcBorders>
              <w:top w:val="nil"/>
              <w:left w:val="nil"/>
              <w:bottom w:val="single" w:sz="4" w:space="0" w:color="auto"/>
              <w:right w:val="single" w:sz="4" w:space="0" w:color="auto"/>
            </w:tcBorders>
            <w:shd w:val="clear" w:color="000000" w:fill="FFFFFF"/>
            <w:vAlign w:val="center"/>
            <w:hideMark/>
          </w:tcPr>
          <w:p w14:paraId="31253B58" w14:textId="77777777" w:rsidR="00575985" w:rsidRPr="00565003" w:rsidRDefault="00575985" w:rsidP="000378C3">
            <w:pPr>
              <w:pStyle w:val="T3"/>
              <w:jc w:val="left"/>
              <w:rPr>
                <w:b/>
                <w:color w:val="000000" w:themeColor="text1"/>
              </w:rPr>
            </w:pPr>
            <w:r w:rsidRPr="00565003">
              <w:rPr>
                <w:b/>
                <w:color w:val="000000" w:themeColor="text1"/>
              </w:rPr>
              <w:t>Weak</w:t>
            </w:r>
          </w:p>
        </w:tc>
        <w:tc>
          <w:tcPr>
            <w:tcW w:w="3597" w:type="pct"/>
            <w:tcBorders>
              <w:top w:val="nil"/>
              <w:left w:val="nil"/>
              <w:bottom w:val="single" w:sz="4" w:space="0" w:color="auto"/>
              <w:right w:val="single" w:sz="4" w:space="0" w:color="auto"/>
            </w:tcBorders>
            <w:shd w:val="clear" w:color="000000" w:fill="FFFFFF"/>
            <w:hideMark/>
          </w:tcPr>
          <w:p w14:paraId="7C6277E8" w14:textId="77777777" w:rsidR="00575985" w:rsidRPr="00565003" w:rsidRDefault="00575985" w:rsidP="000378C3">
            <w:pPr>
              <w:pStyle w:val="T3"/>
              <w:rPr>
                <w:color w:val="000000" w:themeColor="text1"/>
              </w:rPr>
            </w:pPr>
            <w:r w:rsidRPr="00565003">
              <w:rPr>
                <w:color w:val="000000" w:themeColor="text1"/>
              </w:rPr>
              <w:t>There are some minor reservations that the supplier understands and/or that the proposals will deliver the requirements in relation to the services.</w:t>
            </w:r>
            <w:r w:rsidRPr="00565003">
              <w:rPr>
                <w:color w:val="000000" w:themeColor="text1"/>
              </w:rPr>
              <w:br/>
              <w:t>Limited supporting information is provided to evidence understanding and/or deliverability of the proposal.</w:t>
            </w:r>
          </w:p>
        </w:tc>
      </w:tr>
      <w:tr w:rsidR="00575985" w:rsidRPr="00565003" w14:paraId="536CB158" w14:textId="77777777" w:rsidTr="000378C3">
        <w:trPr>
          <w:trHeight w:val="87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347A43DD" w14:textId="77777777" w:rsidR="00575985" w:rsidRPr="00565003" w:rsidRDefault="00575985" w:rsidP="000378C3">
            <w:pPr>
              <w:pStyle w:val="T3"/>
              <w:jc w:val="left"/>
              <w:rPr>
                <w:b/>
                <w:color w:val="000000" w:themeColor="text1"/>
              </w:rPr>
            </w:pPr>
            <w:r>
              <w:rPr>
                <w:b/>
                <w:color w:val="000000" w:themeColor="text1"/>
              </w:rPr>
              <w:t>3</w:t>
            </w:r>
          </w:p>
        </w:tc>
        <w:tc>
          <w:tcPr>
            <w:tcW w:w="934" w:type="pct"/>
            <w:tcBorders>
              <w:top w:val="nil"/>
              <w:left w:val="nil"/>
              <w:bottom w:val="single" w:sz="4" w:space="0" w:color="auto"/>
              <w:right w:val="single" w:sz="4" w:space="0" w:color="auto"/>
            </w:tcBorders>
            <w:shd w:val="clear" w:color="000000" w:fill="FFFFFF"/>
            <w:vAlign w:val="center"/>
            <w:hideMark/>
          </w:tcPr>
          <w:p w14:paraId="518A4CF3" w14:textId="77777777" w:rsidR="00575985" w:rsidRPr="00565003" w:rsidRDefault="00575985" w:rsidP="000378C3">
            <w:pPr>
              <w:pStyle w:val="T3"/>
              <w:jc w:val="left"/>
              <w:rPr>
                <w:b/>
                <w:color w:val="000000" w:themeColor="text1"/>
              </w:rPr>
            </w:pPr>
            <w:r w:rsidRPr="00565003">
              <w:rPr>
                <w:b/>
                <w:color w:val="000000" w:themeColor="text1"/>
              </w:rPr>
              <w:t xml:space="preserve">Meets the requirement </w:t>
            </w:r>
          </w:p>
        </w:tc>
        <w:tc>
          <w:tcPr>
            <w:tcW w:w="3597" w:type="pct"/>
            <w:tcBorders>
              <w:top w:val="nil"/>
              <w:left w:val="nil"/>
              <w:bottom w:val="single" w:sz="4" w:space="0" w:color="auto"/>
              <w:right w:val="single" w:sz="4" w:space="0" w:color="auto"/>
            </w:tcBorders>
            <w:shd w:val="clear" w:color="000000" w:fill="FFFFFF"/>
            <w:hideMark/>
          </w:tcPr>
          <w:p w14:paraId="41B6F40C" w14:textId="77777777" w:rsidR="00575985" w:rsidRPr="00565003" w:rsidRDefault="00575985" w:rsidP="000378C3">
            <w:pPr>
              <w:pStyle w:val="T3"/>
              <w:rPr>
                <w:color w:val="000000" w:themeColor="text1"/>
              </w:rPr>
            </w:pPr>
            <w:r w:rsidRPr="00565003">
              <w:rPr>
                <w:color w:val="000000" w:themeColor="text1"/>
              </w:rPr>
              <w:t>The response demonstrates that the supplier understands and will deliver the requirements in relation to the services.</w:t>
            </w:r>
          </w:p>
          <w:p w14:paraId="22BD4E2C" w14:textId="77777777" w:rsidR="00575985" w:rsidRPr="00565003" w:rsidRDefault="00575985" w:rsidP="000378C3">
            <w:pPr>
              <w:pStyle w:val="T3"/>
              <w:rPr>
                <w:color w:val="000000" w:themeColor="text1"/>
              </w:rPr>
            </w:pPr>
            <w:r w:rsidRPr="00565003">
              <w:rPr>
                <w:color w:val="000000" w:themeColor="text1"/>
              </w:rPr>
              <w:t>Satisfactory supporting information is provided to evidence understanding and deliverability of the proposal.</w:t>
            </w:r>
          </w:p>
        </w:tc>
      </w:tr>
      <w:tr w:rsidR="00575985" w:rsidRPr="00565003" w14:paraId="08637F6A" w14:textId="77777777" w:rsidTr="000378C3">
        <w:trPr>
          <w:trHeight w:val="1097"/>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0BDC6220" w14:textId="77777777" w:rsidR="00575985" w:rsidRPr="00565003" w:rsidRDefault="00575985" w:rsidP="000378C3">
            <w:pPr>
              <w:pStyle w:val="T3"/>
              <w:jc w:val="left"/>
              <w:rPr>
                <w:b/>
                <w:color w:val="000000" w:themeColor="text1"/>
              </w:rPr>
            </w:pPr>
            <w:r>
              <w:rPr>
                <w:b/>
                <w:color w:val="000000" w:themeColor="text1"/>
              </w:rPr>
              <w:t>4</w:t>
            </w:r>
          </w:p>
        </w:tc>
        <w:tc>
          <w:tcPr>
            <w:tcW w:w="934" w:type="pct"/>
            <w:tcBorders>
              <w:top w:val="nil"/>
              <w:left w:val="nil"/>
              <w:bottom w:val="single" w:sz="4" w:space="0" w:color="auto"/>
              <w:right w:val="single" w:sz="4" w:space="0" w:color="auto"/>
            </w:tcBorders>
            <w:shd w:val="clear" w:color="000000" w:fill="FFFFFF"/>
            <w:vAlign w:val="center"/>
            <w:hideMark/>
          </w:tcPr>
          <w:p w14:paraId="20AD2158" w14:textId="77777777" w:rsidR="00575985" w:rsidRPr="00565003" w:rsidRDefault="00575985" w:rsidP="000378C3">
            <w:pPr>
              <w:pStyle w:val="T3"/>
              <w:jc w:val="left"/>
              <w:rPr>
                <w:b/>
                <w:color w:val="000000" w:themeColor="text1"/>
              </w:rPr>
            </w:pPr>
            <w:r w:rsidRPr="00565003">
              <w:rPr>
                <w:b/>
                <w:color w:val="000000" w:themeColor="text1"/>
              </w:rPr>
              <w:t>Good</w:t>
            </w:r>
          </w:p>
        </w:tc>
        <w:tc>
          <w:tcPr>
            <w:tcW w:w="3597" w:type="pct"/>
            <w:tcBorders>
              <w:top w:val="nil"/>
              <w:left w:val="nil"/>
              <w:bottom w:val="single" w:sz="4" w:space="0" w:color="auto"/>
              <w:right w:val="single" w:sz="4" w:space="0" w:color="auto"/>
            </w:tcBorders>
            <w:shd w:val="clear" w:color="000000" w:fill="FFFFFF"/>
            <w:hideMark/>
          </w:tcPr>
          <w:p w14:paraId="2CE4FDE5" w14:textId="77777777" w:rsidR="00575985" w:rsidRPr="00565003" w:rsidRDefault="00575985" w:rsidP="000378C3">
            <w:pPr>
              <w:pStyle w:val="T3"/>
              <w:rPr>
                <w:color w:val="000000" w:themeColor="text1"/>
              </w:rPr>
            </w:pPr>
            <w:r w:rsidRPr="00565003">
              <w:rPr>
                <w:color w:val="000000" w:themeColor="text1"/>
              </w:rPr>
              <w:t>A good response which demonstrates that the supplier has a good understanding and demonstrates that the proposal will deliver the requirements in relation to the services as well as delivering added value.</w:t>
            </w:r>
          </w:p>
          <w:p w14:paraId="67ECF442" w14:textId="77777777" w:rsidR="00575985" w:rsidRPr="00565003" w:rsidRDefault="00575985" w:rsidP="000378C3">
            <w:pPr>
              <w:pStyle w:val="T3"/>
              <w:rPr>
                <w:color w:val="000000" w:themeColor="text1"/>
              </w:rPr>
            </w:pPr>
            <w:r w:rsidRPr="00565003">
              <w:rPr>
                <w:color w:val="000000" w:themeColor="text1"/>
              </w:rPr>
              <w:t>Good supporting information is provided which demonstrates good and relevant evidence of the supplier’s understanding and the deliverability of the overall proposal.</w:t>
            </w:r>
          </w:p>
        </w:tc>
      </w:tr>
      <w:tr w:rsidR="00575985" w:rsidRPr="00565003" w14:paraId="600A4709" w14:textId="77777777" w:rsidTr="000378C3">
        <w:trPr>
          <w:trHeight w:val="1535"/>
        </w:trPr>
        <w:tc>
          <w:tcPr>
            <w:tcW w:w="469" w:type="pct"/>
            <w:tcBorders>
              <w:top w:val="nil"/>
              <w:left w:val="single" w:sz="4" w:space="0" w:color="auto"/>
              <w:bottom w:val="single" w:sz="4" w:space="0" w:color="auto"/>
              <w:right w:val="single" w:sz="4" w:space="0" w:color="auto"/>
            </w:tcBorders>
            <w:shd w:val="clear" w:color="000000" w:fill="FFFFFF"/>
            <w:vAlign w:val="center"/>
            <w:hideMark/>
          </w:tcPr>
          <w:p w14:paraId="6C1BCD83" w14:textId="77777777" w:rsidR="00575985" w:rsidRPr="00565003" w:rsidRDefault="00575985" w:rsidP="000378C3">
            <w:pPr>
              <w:pStyle w:val="T3"/>
              <w:jc w:val="left"/>
              <w:rPr>
                <w:b/>
                <w:color w:val="000000" w:themeColor="text1"/>
              </w:rPr>
            </w:pPr>
            <w:r w:rsidRPr="00565003">
              <w:rPr>
                <w:b/>
                <w:color w:val="000000" w:themeColor="text1"/>
              </w:rPr>
              <w:t>5</w:t>
            </w:r>
          </w:p>
        </w:tc>
        <w:tc>
          <w:tcPr>
            <w:tcW w:w="934" w:type="pct"/>
            <w:tcBorders>
              <w:top w:val="nil"/>
              <w:left w:val="nil"/>
              <w:bottom w:val="single" w:sz="4" w:space="0" w:color="auto"/>
              <w:right w:val="single" w:sz="4" w:space="0" w:color="auto"/>
            </w:tcBorders>
            <w:shd w:val="clear" w:color="000000" w:fill="FFFFFF"/>
            <w:vAlign w:val="center"/>
            <w:hideMark/>
          </w:tcPr>
          <w:p w14:paraId="01A809CA" w14:textId="77777777" w:rsidR="00575985" w:rsidRPr="00565003" w:rsidRDefault="00575985" w:rsidP="000378C3">
            <w:pPr>
              <w:pStyle w:val="T3"/>
              <w:jc w:val="left"/>
              <w:rPr>
                <w:b/>
                <w:color w:val="000000" w:themeColor="text1"/>
              </w:rPr>
            </w:pPr>
            <w:r w:rsidRPr="00565003">
              <w:rPr>
                <w:b/>
                <w:color w:val="000000" w:themeColor="text1"/>
              </w:rPr>
              <w:t>Outstanding</w:t>
            </w:r>
          </w:p>
        </w:tc>
        <w:tc>
          <w:tcPr>
            <w:tcW w:w="3597" w:type="pct"/>
            <w:tcBorders>
              <w:top w:val="nil"/>
              <w:left w:val="nil"/>
              <w:bottom w:val="single" w:sz="4" w:space="0" w:color="auto"/>
              <w:right w:val="single" w:sz="4" w:space="0" w:color="auto"/>
            </w:tcBorders>
            <w:shd w:val="clear" w:color="000000" w:fill="FFFFFF"/>
            <w:hideMark/>
          </w:tcPr>
          <w:p w14:paraId="268C2CC7" w14:textId="77777777" w:rsidR="00575985" w:rsidRPr="00565003" w:rsidRDefault="00575985" w:rsidP="000378C3">
            <w:pPr>
              <w:pStyle w:val="T3"/>
              <w:rPr>
                <w:color w:val="000000" w:themeColor="text1"/>
              </w:rPr>
            </w:pPr>
            <w:r w:rsidRPr="00565003">
              <w:rPr>
                <w:color w:val="000000" w:themeColor="text1"/>
              </w:rPr>
              <w:t>An outstanding response which demonstrates that the supplier has an exceptional and in depth understanding and demonstrates that the proposal will deliver the requirements as well as delivering significant added value and continuous improvement in relation to the services.</w:t>
            </w:r>
          </w:p>
          <w:p w14:paraId="6A9E9014" w14:textId="77777777" w:rsidR="00575985" w:rsidRPr="00565003" w:rsidRDefault="00575985" w:rsidP="000378C3">
            <w:pPr>
              <w:pStyle w:val="T3"/>
              <w:rPr>
                <w:color w:val="000000" w:themeColor="text1"/>
              </w:rPr>
            </w:pPr>
            <w:r w:rsidRPr="00565003">
              <w:rPr>
                <w:color w:val="000000" w:themeColor="text1"/>
              </w:rPr>
              <w:t>Exceptional supporting information is provided which demonstrates outstanding and relevant evidence of the supplier’s understanding and the deliverability of the overall proposal.</w:t>
            </w:r>
          </w:p>
        </w:tc>
      </w:tr>
    </w:tbl>
    <w:p w14:paraId="05541EDB" w14:textId="77777777" w:rsidR="00575985" w:rsidRPr="00575985" w:rsidRDefault="00575985" w:rsidP="00575985"/>
    <w:sectPr w:rsidR="00575985" w:rsidRPr="00575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6B7B"/>
    <w:multiLevelType w:val="multilevel"/>
    <w:tmpl w:val="30CEB480"/>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985"/>
    <w:rsid w:val="004E70A9"/>
    <w:rsid w:val="00575985"/>
    <w:rsid w:val="009F0A59"/>
    <w:rsid w:val="00CB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A6E9"/>
  <w15:chartTrackingRefBased/>
  <w15:docId w15:val="{C2355429-063B-4EE9-8908-B019F90E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5985"/>
    <w:pPr>
      <w:ind w:left="426"/>
      <w:jc w:val="both"/>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DateofTender xmlns="a134145b-6e99-458e-8764-f8205c3a086d">2025-02-20T10:40:06+00:00</DateofTender>
  </documentManagement>
</p:properties>
</file>

<file path=customXml/itemProps1.xml><?xml version="1.0" encoding="utf-8"?>
<ds:datastoreItem xmlns:ds="http://schemas.openxmlformats.org/officeDocument/2006/customXml" ds:itemID="{74F7B79A-C169-4F0D-A8E9-2CD15B328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1FFAC-471B-47EA-A176-7170256AA0A9}">
  <ds:schemaRefs>
    <ds:schemaRef ds:uri="http://schemas.microsoft.com/sharepoint/v3/contenttype/forms"/>
  </ds:schemaRefs>
</ds:datastoreItem>
</file>

<file path=customXml/itemProps3.xml><?xml version="1.0" encoding="utf-8"?>
<ds:datastoreItem xmlns:ds="http://schemas.openxmlformats.org/officeDocument/2006/customXml" ds:itemID="{151BB242-B869-4B7F-A479-947FD95450E8}">
  <ds:schemaRefs>
    <ds:schemaRef ds:uri="http://schemas.microsoft.com/office/2006/documentManagement/types"/>
    <ds:schemaRef ds:uri="9e790679-42de-4090-b410-de3b52e99e34"/>
    <ds:schemaRef ds:uri="http://purl.org/dc/elements/1.1/"/>
    <ds:schemaRef ds:uri="http://schemas.microsoft.com/office/2006/metadata/properties"/>
    <ds:schemaRef ds:uri="http://schemas.openxmlformats.org/package/2006/metadata/core-properties"/>
    <ds:schemaRef ds:uri="http://purl.org/dc/terms/"/>
    <ds:schemaRef ds:uri="a134145b-6e99-458e-8764-f8205c3a086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Company>University of Chichester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2</cp:revision>
  <dcterms:created xsi:type="dcterms:W3CDTF">2025-02-20T10:39:00Z</dcterms:created>
  <dcterms:modified xsi:type="dcterms:W3CDTF">2025-02-20T10:40:00Z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ies>
</file>