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A0583D" w:rsidRPr="00224645" w:rsidTr="00A0583D">
        <w:tc>
          <w:tcPr>
            <w:tcW w:w="1424" w:type="dxa"/>
          </w:tcPr>
          <w:p w:rsidR="00A0583D" w:rsidRPr="003512D0" w:rsidRDefault="00A0583D" w:rsidP="00A0583D">
            <w:pPr>
              <w:rPr>
                <w:rFonts w:asciiTheme="minorHAnsi" w:hAnsiTheme="minorHAnsi" w:cstheme="minorHAnsi"/>
                <w:sz w:val="16"/>
                <w:szCs w:val="16"/>
              </w:rPr>
            </w:pPr>
            <w:r w:rsidRPr="003512D0">
              <w:rPr>
                <w:rFonts w:asciiTheme="minorHAnsi" w:hAnsiTheme="minorHAnsi" w:cstheme="minorHAnsi"/>
                <w:sz w:val="16"/>
                <w:szCs w:val="16"/>
              </w:rPr>
              <w:t>Version number:</w:t>
            </w:r>
          </w:p>
        </w:tc>
        <w:sdt>
          <w:sdtPr>
            <w:rPr>
              <w:rFonts w:asciiTheme="minorHAnsi" w:hAnsiTheme="minorHAnsi" w:cstheme="minorHAnsi"/>
              <w:noProof/>
              <w:sz w:val="16"/>
              <w:szCs w:val="16"/>
              <w:lang w:eastAsia="en-GB"/>
            </w:rPr>
            <w:id w:val="-1856027643"/>
            <w:placeholder>
              <w:docPart w:val="D2ED4EDA9F144FE0A5399CEB22E6CBBB"/>
            </w:placeholder>
            <w:text/>
          </w:sdtPr>
          <w:sdtEndPr/>
          <w:sdtContent>
            <w:tc>
              <w:tcPr>
                <w:tcW w:w="4111" w:type="dxa"/>
              </w:tcPr>
              <w:p w:rsidR="00A0583D" w:rsidRPr="003512D0" w:rsidRDefault="00936C87" w:rsidP="00A0583D">
                <w:pPr>
                  <w:rPr>
                    <w:rFonts w:asciiTheme="minorHAnsi" w:hAnsiTheme="minorHAnsi" w:cstheme="minorHAnsi"/>
                    <w:noProof/>
                    <w:sz w:val="16"/>
                    <w:szCs w:val="16"/>
                    <w:lang w:eastAsia="en-GB"/>
                  </w:rPr>
                </w:pPr>
                <w:r>
                  <w:rPr>
                    <w:rFonts w:asciiTheme="minorHAnsi" w:hAnsiTheme="minorHAnsi" w:cstheme="minorHAnsi"/>
                    <w:noProof/>
                    <w:sz w:val="16"/>
                    <w:szCs w:val="16"/>
                    <w:lang w:eastAsia="en-GB"/>
                  </w:rPr>
                  <w:t>1.</w:t>
                </w:r>
                <w:r w:rsidR="001E60F1">
                  <w:rPr>
                    <w:rFonts w:asciiTheme="minorHAnsi" w:hAnsiTheme="minorHAnsi" w:cstheme="minorHAnsi"/>
                    <w:noProof/>
                    <w:sz w:val="16"/>
                    <w:szCs w:val="16"/>
                    <w:lang w:eastAsia="en-GB"/>
                  </w:rPr>
                  <w:t>1</w:t>
                </w:r>
              </w:p>
            </w:tc>
          </w:sdtContent>
        </w:sdt>
        <w:tc>
          <w:tcPr>
            <w:tcW w:w="3827" w:type="dxa"/>
            <w:vMerge w:val="restart"/>
          </w:tcPr>
          <w:p w:rsidR="00A0583D" w:rsidRPr="003512D0" w:rsidRDefault="00A0583D" w:rsidP="00A0583D">
            <w:pPr>
              <w:rPr>
                <w:rFonts w:asciiTheme="minorHAnsi" w:hAnsiTheme="minorHAnsi" w:cstheme="minorHAnsi"/>
                <w:sz w:val="16"/>
                <w:szCs w:val="16"/>
              </w:rPr>
            </w:pPr>
            <w:r w:rsidRPr="003512D0">
              <w:rPr>
                <w:rFonts w:asciiTheme="minorHAnsi" w:hAnsiTheme="minorHAnsi" w:cstheme="minorHAnsi"/>
                <w:noProof/>
                <w:sz w:val="16"/>
                <w:szCs w:val="16"/>
                <w:lang w:eastAsia="en-GB"/>
              </w:rPr>
              <w:drawing>
                <wp:anchor distT="0" distB="0" distL="114300" distR="114300" simplePos="0" relativeHeight="251659264" behindDoc="0" locked="0" layoutInCell="1" allowOverlap="1" wp14:anchorId="2A4CDB9A" wp14:editId="6191761D">
                  <wp:simplePos x="0" y="0"/>
                  <wp:positionH relativeFrom="column">
                    <wp:posOffset>114300</wp:posOffset>
                  </wp:positionH>
                  <wp:positionV relativeFrom="page">
                    <wp:posOffset>-3175</wp:posOffset>
                  </wp:positionV>
                  <wp:extent cx="2244090" cy="509099"/>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Chi logo 1.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4090" cy="5090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A0583D" w:rsidRPr="00224645" w:rsidTr="00A0583D">
        <w:tc>
          <w:tcPr>
            <w:tcW w:w="1424" w:type="dxa"/>
          </w:tcPr>
          <w:p w:rsidR="00A0583D" w:rsidRPr="001E60F1" w:rsidRDefault="00A0583D" w:rsidP="00A0583D">
            <w:pPr>
              <w:rPr>
                <w:rFonts w:asciiTheme="minorHAnsi" w:hAnsiTheme="minorHAnsi" w:cstheme="minorHAnsi"/>
                <w:sz w:val="16"/>
                <w:szCs w:val="16"/>
              </w:rPr>
            </w:pPr>
            <w:r w:rsidRPr="001E60F1">
              <w:rPr>
                <w:rFonts w:asciiTheme="minorHAnsi" w:hAnsiTheme="minorHAnsi" w:cstheme="minorHAnsi"/>
                <w:sz w:val="16"/>
                <w:szCs w:val="16"/>
              </w:rPr>
              <w:t>Policy owner:</w:t>
            </w:r>
          </w:p>
        </w:tc>
        <w:sdt>
          <w:sdtPr>
            <w:rPr>
              <w:rFonts w:asciiTheme="minorHAnsi" w:hAnsiTheme="minorHAnsi" w:cstheme="minorHAnsi"/>
              <w:sz w:val="16"/>
              <w:szCs w:val="16"/>
            </w:rPr>
            <w:id w:val="871269591"/>
            <w:placeholder>
              <w:docPart w:val="E07A3CB1A0134B6E8401F39661E8BE29"/>
            </w:placeholder>
            <w:text/>
          </w:sdtPr>
          <w:sdtEndPr/>
          <w:sdtContent>
            <w:tc>
              <w:tcPr>
                <w:tcW w:w="4111" w:type="dxa"/>
              </w:tcPr>
              <w:p w:rsidR="00A0583D" w:rsidRPr="001E60F1" w:rsidRDefault="00A0583D" w:rsidP="00A0583D">
                <w:pPr>
                  <w:rPr>
                    <w:rFonts w:asciiTheme="minorHAnsi" w:hAnsiTheme="minorHAnsi" w:cstheme="minorHAnsi"/>
                    <w:sz w:val="16"/>
                    <w:szCs w:val="16"/>
                  </w:rPr>
                </w:pPr>
                <w:r w:rsidRPr="001E60F1">
                  <w:rPr>
                    <w:rFonts w:asciiTheme="minorHAnsi" w:hAnsiTheme="minorHAnsi" w:cstheme="minorHAnsi"/>
                    <w:sz w:val="16"/>
                    <w:szCs w:val="16"/>
                  </w:rPr>
                  <w:t>Director of Student</w:t>
                </w:r>
                <w:r w:rsidR="001E60F1">
                  <w:rPr>
                    <w:rFonts w:asciiTheme="minorHAnsi" w:hAnsiTheme="minorHAnsi" w:cstheme="minorHAnsi"/>
                    <w:sz w:val="16"/>
                    <w:szCs w:val="16"/>
                  </w:rPr>
                  <w:t>s</w:t>
                </w:r>
                <w:r w:rsidR="000160AF" w:rsidRPr="001E60F1">
                  <w:rPr>
                    <w:rFonts w:asciiTheme="minorHAnsi" w:hAnsiTheme="minorHAnsi" w:cstheme="minorHAnsi"/>
                    <w:sz w:val="16"/>
                    <w:szCs w:val="16"/>
                  </w:rPr>
                  <w:t>,</w:t>
                </w:r>
                <w:r w:rsidRPr="001E60F1">
                  <w:rPr>
                    <w:rFonts w:asciiTheme="minorHAnsi" w:hAnsiTheme="minorHAnsi" w:cstheme="minorHAnsi"/>
                    <w:sz w:val="16"/>
                    <w:szCs w:val="16"/>
                  </w:rPr>
                  <w:t xml:space="preserve"> Support and </w:t>
                </w:r>
                <w:r w:rsidR="00EE51CB" w:rsidRPr="001E60F1">
                  <w:rPr>
                    <w:rFonts w:asciiTheme="minorHAnsi" w:hAnsiTheme="minorHAnsi" w:cstheme="minorHAnsi"/>
                    <w:sz w:val="16"/>
                    <w:szCs w:val="16"/>
                  </w:rPr>
                  <w:t>Information Systems</w:t>
                </w:r>
              </w:p>
            </w:tc>
          </w:sdtContent>
        </w:sdt>
        <w:tc>
          <w:tcPr>
            <w:tcW w:w="3827" w:type="dxa"/>
            <w:vMerge/>
          </w:tcPr>
          <w:p w:rsidR="00A0583D" w:rsidRPr="003512D0" w:rsidRDefault="00A0583D" w:rsidP="00A0583D">
            <w:pPr>
              <w:rPr>
                <w:rFonts w:asciiTheme="minorHAnsi" w:hAnsiTheme="minorHAnsi" w:cstheme="minorHAnsi"/>
                <w:sz w:val="16"/>
                <w:szCs w:val="16"/>
              </w:rPr>
            </w:pPr>
          </w:p>
        </w:tc>
      </w:tr>
      <w:tr w:rsidR="00A0583D" w:rsidRPr="00224645" w:rsidTr="00A0583D">
        <w:tc>
          <w:tcPr>
            <w:tcW w:w="1424" w:type="dxa"/>
          </w:tcPr>
          <w:p w:rsidR="00A0583D" w:rsidRPr="001E60F1" w:rsidRDefault="00A0583D" w:rsidP="00A0583D">
            <w:pPr>
              <w:rPr>
                <w:rFonts w:asciiTheme="minorHAnsi" w:hAnsiTheme="minorHAnsi" w:cstheme="minorHAnsi"/>
                <w:sz w:val="16"/>
                <w:szCs w:val="16"/>
              </w:rPr>
            </w:pPr>
            <w:r w:rsidRPr="001E60F1">
              <w:rPr>
                <w:rFonts w:asciiTheme="minorHAnsi" w:hAnsiTheme="minorHAnsi" w:cstheme="minorHAnsi"/>
                <w:sz w:val="16"/>
                <w:szCs w:val="16"/>
              </w:rPr>
              <w:t>Effective date:</w:t>
            </w:r>
          </w:p>
        </w:tc>
        <w:sdt>
          <w:sdtPr>
            <w:rPr>
              <w:rFonts w:asciiTheme="minorHAnsi" w:hAnsiTheme="minorHAnsi" w:cstheme="minorHAnsi"/>
              <w:sz w:val="16"/>
              <w:szCs w:val="16"/>
            </w:rPr>
            <w:id w:val="-320266801"/>
            <w:placeholder>
              <w:docPart w:val="14BB979B70A341B19E551F4571761C1D"/>
            </w:placeholder>
            <w:date w:fullDate="2021-03-01T00:00:00Z">
              <w:dateFormat w:val="dd/MM/yyyy"/>
              <w:lid w:val="en-GB"/>
              <w:storeMappedDataAs w:val="dateTime"/>
              <w:calendar w:val="gregorian"/>
            </w:date>
          </w:sdtPr>
          <w:sdtEndPr/>
          <w:sdtContent>
            <w:tc>
              <w:tcPr>
                <w:tcW w:w="4111" w:type="dxa"/>
              </w:tcPr>
              <w:p w:rsidR="00A0583D" w:rsidRPr="001E60F1" w:rsidRDefault="00936C87" w:rsidP="00A0583D">
                <w:pPr>
                  <w:rPr>
                    <w:rFonts w:asciiTheme="minorHAnsi" w:hAnsiTheme="minorHAnsi" w:cstheme="minorHAnsi"/>
                    <w:sz w:val="16"/>
                    <w:szCs w:val="16"/>
                  </w:rPr>
                </w:pPr>
                <w:r w:rsidRPr="001E60F1">
                  <w:rPr>
                    <w:rFonts w:asciiTheme="minorHAnsi" w:hAnsiTheme="minorHAnsi" w:cstheme="minorHAnsi"/>
                    <w:sz w:val="16"/>
                    <w:szCs w:val="16"/>
                  </w:rPr>
                  <w:t>01/03/2021</w:t>
                </w:r>
              </w:p>
            </w:tc>
          </w:sdtContent>
        </w:sdt>
        <w:tc>
          <w:tcPr>
            <w:tcW w:w="3827" w:type="dxa"/>
            <w:vMerge/>
          </w:tcPr>
          <w:p w:rsidR="00A0583D" w:rsidRPr="003512D0" w:rsidRDefault="00A0583D" w:rsidP="00A0583D">
            <w:pPr>
              <w:rPr>
                <w:rFonts w:asciiTheme="minorHAnsi" w:hAnsiTheme="minorHAnsi" w:cstheme="minorHAnsi"/>
                <w:sz w:val="16"/>
                <w:szCs w:val="16"/>
              </w:rPr>
            </w:pPr>
          </w:p>
        </w:tc>
      </w:tr>
      <w:tr w:rsidR="00A0583D" w:rsidRPr="00224645" w:rsidTr="00A0583D">
        <w:tc>
          <w:tcPr>
            <w:tcW w:w="1424" w:type="dxa"/>
          </w:tcPr>
          <w:p w:rsidR="00A0583D" w:rsidRPr="001E60F1" w:rsidRDefault="00A0583D" w:rsidP="00A0583D">
            <w:pPr>
              <w:rPr>
                <w:rFonts w:asciiTheme="minorHAnsi" w:hAnsiTheme="minorHAnsi" w:cstheme="minorHAnsi"/>
                <w:sz w:val="16"/>
                <w:szCs w:val="16"/>
              </w:rPr>
            </w:pPr>
            <w:r w:rsidRPr="001E60F1">
              <w:rPr>
                <w:rFonts w:asciiTheme="minorHAnsi" w:hAnsiTheme="minorHAnsi" w:cstheme="minorHAnsi"/>
                <w:sz w:val="16"/>
                <w:szCs w:val="16"/>
              </w:rPr>
              <w:t>Review date:</w:t>
            </w:r>
          </w:p>
        </w:tc>
        <w:sdt>
          <w:sdtPr>
            <w:rPr>
              <w:rFonts w:asciiTheme="minorHAnsi" w:hAnsiTheme="minorHAnsi" w:cstheme="minorHAnsi"/>
              <w:sz w:val="16"/>
              <w:szCs w:val="16"/>
            </w:rPr>
            <w:id w:val="545957396"/>
            <w:placeholder>
              <w:docPart w:val="E8FCB287238D4CE4BDD82E48EF72DDFE"/>
            </w:placeholder>
            <w:date w:fullDate="2023-06-30T00:00:00Z">
              <w:dateFormat w:val="dd/MM/yyyy"/>
              <w:lid w:val="en-GB"/>
              <w:storeMappedDataAs w:val="dateTime"/>
              <w:calendar w:val="gregorian"/>
            </w:date>
          </w:sdtPr>
          <w:sdtEndPr/>
          <w:sdtContent>
            <w:tc>
              <w:tcPr>
                <w:tcW w:w="4111" w:type="dxa"/>
              </w:tcPr>
              <w:p w:rsidR="00A0583D" w:rsidRPr="001E60F1" w:rsidRDefault="008647D3" w:rsidP="00A0583D">
                <w:pPr>
                  <w:rPr>
                    <w:rFonts w:asciiTheme="minorHAnsi" w:hAnsiTheme="minorHAnsi" w:cstheme="minorHAnsi"/>
                    <w:sz w:val="16"/>
                    <w:szCs w:val="16"/>
                  </w:rPr>
                </w:pPr>
                <w:r w:rsidRPr="001E60F1">
                  <w:rPr>
                    <w:rFonts w:asciiTheme="minorHAnsi" w:hAnsiTheme="minorHAnsi" w:cstheme="minorHAnsi"/>
                    <w:sz w:val="16"/>
                    <w:szCs w:val="16"/>
                  </w:rPr>
                  <w:t>30/06/2023</w:t>
                </w:r>
              </w:p>
            </w:tc>
          </w:sdtContent>
        </w:sdt>
        <w:tc>
          <w:tcPr>
            <w:tcW w:w="3827" w:type="dxa"/>
            <w:vMerge/>
          </w:tcPr>
          <w:p w:rsidR="00A0583D" w:rsidRPr="003512D0" w:rsidRDefault="00A0583D" w:rsidP="00A0583D">
            <w:pPr>
              <w:rPr>
                <w:rFonts w:asciiTheme="minorHAnsi" w:hAnsiTheme="minorHAnsi" w:cstheme="minorHAnsi"/>
                <w:sz w:val="16"/>
                <w:szCs w:val="16"/>
              </w:rPr>
            </w:pPr>
          </w:p>
        </w:tc>
      </w:tr>
    </w:tbl>
    <w:p w:rsidR="00A0583D" w:rsidRPr="00224645" w:rsidRDefault="00A0583D" w:rsidP="00A0583D"/>
    <w:p w:rsidR="00A0583D" w:rsidRPr="00224645" w:rsidRDefault="00A0583D" w:rsidP="00A0583D"/>
    <w:p w:rsidR="00A0583D" w:rsidRPr="00224645" w:rsidRDefault="00A0583D" w:rsidP="00A0583D"/>
    <w:p w:rsidR="00A0583D" w:rsidRPr="00224645" w:rsidRDefault="00A0583D" w:rsidP="00A0583D"/>
    <w:sdt>
      <w:sdtPr>
        <w:rPr>
          <w:rFonts w:asciiTheme="minorHAnsi" w:hAnsiTheme="minorHAnsi" w:cs="Humanist777BT-LightB"/>
          <w:color w:val="262626" w:themeColor="text1" w:themeTint="D9"/>
          <w:sz w:val="36"/>
          <w:szCs w:val="36"/>
          <w:highlight w:val="yellow"/>
        </w:rPr>
        <w:id w:val="-1462493915"/>
        <w:placeholder>
          <w:docPart w:val="925C253C55E64010A1924BB3E8F00B4F"/>
        </w:placeholder>
      </w:sdtPr>
      <w:sdtEndPr>
        <w:rPr>
          <w:highlight w:val="none"/>
        </w:rPr>
      </w:sdtEndPr>
      <w:sdtContent>
        <w:p w:rsidR="00A0583D" w:rsidRPr="00224645" w:rsidRDefault="00936C87" w:rsidP="00936C87">
          <w:pPr>
            <w:pStyle w:val="Default"/>
          </w:pPr>
          <w:r w:rsidRPr="00936C87">
            <w:rPr>
              <w:rFonts w:asciiTheme="minorHAnsi" w:hAnsiTheme="minorHAnsi" w:cs="Humanist777BT-LightB"/>
              <w:color w:val="262626" w:themeColor="text1" w:themeTint="D9"/>
              <w:sz w:val="36"/>
              <w:szCs w:val="36"/>
            </w:rPr>
            <w:t>Policy on the role of the Academic Adviser</w:t>
          </w:r>
        </w:p>
      </w:sdtContent>
    </w:sdt>
    <w:p w:rsidR="00A0583D" w:rsidRPr="00224645" w:rsidRDefault="00A0583D" w:rsidP="00A0583D">
      <w:pPr>
        <w:pStyle w:val="Default"/>
        <w:rPr>
          <w:sz w:val="22"/>
          <w:szCs w:val="22"/>
        </w:rPr>
      </w:pPr>
    </w:p>
    <w:p w:rsidR="00A0583D" w:rsidRPr="00224645" w:rsidRDefault="00A0583D" w:rsidP="00A0583D">
      <w:pPr>
        <w:pStyle w:val="Default"/>
        <w:rPr>
          <w:sz w:val="22"/>
          <w:szCs w:val="22"/>
        </w:rPr>
      </w:pPr>
    </w:p>
    <w:p w:rsidR="00A0583D" w:rsidRPr="00224645" w:rsidRDefault="00A0583D" w:rsidP="00A0583D">
      <w:pPr>
        <w:pStyle w:val="Default"/>
        <w:rPr>
          <w:sz w:val="22"/>
          <w:szCs w:val="22"/>
        </w:rPr>
      </w:pPr>
    </w:p>
    <w:p w:rsidR="00A0583D" w:rsidRPr="00224645" w:rsidRDefault="00A0583D" w:rsidP="00A0583D">
      <w:r w:rsidRPr="00224645">
        <w:br w:type="page"/>
      </w:r>
    </w:p>
    <w:p w:rsidR="00A0583D" w:rsidRPr="00224645" w:rsidRDefault="00A0583D" w:rsidP="00A0583D">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275"/>
        <w:gridCol w:w="3158"/>
        <w:gridCol w:w="3964"/>
      </w:tblGrid>
      <w:tr w:rsidR="00A0583D" w:rsidRPr="004A1A73" w:rsidTr="00A0583D">
        <w:tc>
          <w:tcPr>
            <w:tcW w:w="1938" w:type="dxa"/>
            <w:gridSpan w:val="2"/>
            <w:tcBorders>
              <w:top w:val="single" w:sz="4" w:space="0" w:color="auto"/>
              <w:left w:val="single" w:sz="4" w:space="0" w:color="auto"/>
              <w:bottom w:val="nil"/>
              <w:right w:val="nil"/>
            </w:tcBorders>
            <w:hideMark/>
          </w:tcPr>
          <w:p w:rsidR="00A0583D" w:rsidRPr="004A1A73" w:rsidRDefault="00A0583D" w:rsidP="00A0583D">
            <w:pPr>
              <w:rPr>
                <w:sz w:val="16"/>
                <w:szCs w:val="16"/>
              </w:rPr>
            </w:pPr>
            <w:r w:rsidRPr="004A1A73">
              <w:rPr>
                <w:sz w:val="16"/>
                <w:szCs w:val="16"/>
              </w:rPr>
              <w:t>Date of Issue</w:t>
            </w:r>
          </w:p>
        </w:tc>
        <w:tc>
          <w:tcPr>
            <w:tcW w:w="7122" w:type="dxa"/>
            <w:gridSpan w:val="2"/>
            <w:tcBorders>
              <w:top w:val="single" w:sz="4" w:space="0" w:color="auto"/>
              <w:left w:val="nil"/>
              <w:bottom w:val="nil"/>
              <w:right w:val="single" w:sz="4" w:space="0" w:color="auto"/>
            </w:tcBorders>
          </w:tcPr>
          <w:p w:rsidR="00A0583D" w:rsidRPr="004A1A73" w:rsidRDefault="00936C87" w:rsidP="00A0583D">
            <w:pPr>
              <w:rPr>
                <w:sz w:val="16"/>
                <w:szCs w:val="16"/>
              </w:rPr>
            </w:pPr>
            <w:r>
              <w:rPr>
                <w:sz w:val="16"/>
                <w:szCs w:val="16"/>
              </w:rPr>
              <w:t>28 February 2021</w:t>
            </w:r>
          </w:p>
        </w:tc>
      </w:tr>
      <w:tr w:rsidR="00A0583D" w:rsidRPr="004A1A73" w:rsidTr="00A0583D">
        <w:tc>
          <w:tcPr>
            <w:tcW w:w="1938" w:type="dxa"/>
            <w:gridSpan w:val="2"/>
            <w:tcBorders>
              <w:top w:val="nil"/>
              <w:left w:val="single" w:sz="4" w:space="0" w:color="auto"/>
              <w:bottom w:val="nil"/>
              <w:right w:val="nil"/>
            </w:tcBorders>
          </w:tcPr>
          <w:p w:rsidR="00A0583D" w:rsidRPr="004A1A73" w:rsidRDefault="00A0583D" w:rsidP="00A0583D">
            <w:pPr>
              <w:rPr>
                <w:sz w:val="16"/>
                <w:szCs w:val="16"/>
              </w:rPr>
            </w:pPr>
          </w:p>
        </w:tc>
        <w:tc>
          <w:tcPr>
            <w:tcW w:w="7122" w:type="dxa"/>
            <w:gridSpan w:val="2"/>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9060" w:type="dxa"/>
            <w:gridSpan w:val="4"/>
            <w:tcBorders>
              <w:top w:val="nil"/>
              <w:left w:val="single" w:sz="4" w:space="0" w:color="auto"/>
              <w:bottom w:val="single" w:sz="4" w:space="0" w:color="auto"/>
              <w:right w:val="single" w:sz="4" w:space="0" w:color="auto"/>
            </w:tcBorders>
            <w:hideMark/>
          </w:tcPr>
          <w:p w:rsidR="00A0583D" w:rsidRPr="004A1A73" w:rsidRDefault="00936C87" w:rsidP="00A0583D">
            <w:pPr>
              <w:rPr>
                <w:sz w:val="16"/>
                <w:szCs w:val="16"/>
              </w:rPr>
            </w:pPr>
            <w:r>
              <w:rPr>
                <w:sz w:val="16"/>
                <w:szCs w:val="16"/>
              </w:rPr>
              <w:t>This is a new policy</w:t>
            </w:r>
          </w:p>
        </w:tc>
      </w:tr>
      <w:tr w:rsidR="00A0583D" w:rsidRPr="004A1A73" w:rsidTr="00A0583D">
        <w:tc>
          <w:tcPr>
            <w:tcW w:w="5096" w:type="dxa"/>
            <w:gridSpan w:val="3"/>
            <w:tcBorders>
              <w:top w:val="single" w:sz="4" w:space="0" w:color="auto"/>
              <w:left w:val="nil"/>
              <w:bottom w:val="single" w:sz="4" w:space="0" w:color="auto"/>
              <w:right w:val="nil"/>
            </w:tcBorders>
          </w:tcPr>
          <w:p w:rsidR="00A0583D" w:rsidRPr="004A1A73" w:rsidRDefault="00A0583D" w:rsidP="00A0583D">
            <w:pPr>
              <w:rPr>
                <w:sz w:val="16"/>
                <w:szCs w:val="16"/>
              </w:rPr>
            </w:pPr>
          </w:p>
        </w:tc>
        <w:tc>
          <w:tcPr>
            <w:tcW w:w="3964" w:type="dxa"/>
            <w:tcBorders>
              <w:top w:val="single" w:sz="4" w:space="0" w:color="auto"/>
              <w:left w:val="nil"/>
              <w:bottom w:val="single" w:sz="4" w:space="0" w:color="auto"/>
              <w:right w:val="nil"/>
            </w:tcBorders>
          </w:tcPr>
          <w:p w:rsidR="00A0583D" w:rsidRPr="004A1A73" w:rsidRDefault="00A0583D" w:rsidP="00A0583D">
            <w:pPr>
              <w:rPr>
                <w:sz w:val="16"/>
                <w:szCs w:val="16"/>
              </w:rPr>
            </w:pPr>
          </w:p>
        </w:tc>
      </w:tr>
      <w:tr w:rsidR="00A0583D" w:rsidRPr="004A1A73" w:rsidTr="00A0583D">
        <w:tc>
          <w:tcPr>
            <w:tcW w:w="5096" w:type="dxa"/>
            <w:gridSpan w:val="3"/>
            <w:tcBorders>
              <w:top w:val="single" w:sz="4" w:space="0" w:color="auto"/>
              <w:left w:val="single" w:sz="4" w:space="0" w:color="auto"/>
              <w:bottom w:val="nil"/>
              <w:right w:val="nil"/>
            </w:tcBorders>
            <w:hideMark/>
          </w:tcPr>
          <w:p w:rsidR="00A0583D" w:rsidRPr="004A1A73" w:rsidRDefault="00A0583D" w:rsidP="00A0583D">
            <w:pPr>
              <w:rPr>
                <w:sz w:val="16"/>
                <w:szCs w:val="16"/>
              </w:rPr>
            </w:pPr>
            <w:r w:rsidRPr="004A1A73">
              <w:rPr>
                <w:sz w:val="16"/>
                <w:szCs w:val="16"/>
              </w:rPr>
              <w:t>Equality Analysis</w:t>
            </w:r>
          </w:p>
        </w:tc>
        <w:tc>
          <w:tcPr>
            <w:tcW w:w="3964" w:type="dxa"/>
            <w:tcBorders>
              <w:top w:val="single" w:sz="4" w:space="0" w:color="auto"/>
              <w:left w:val="nil"/>
              <w:bottom w:val="nil"/>
              <w:right w:val="single" w:sz="4" w:space="0" w:color="auto"/>
            </w:tcBorders>
            <w:hideMark/>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hideMark/>
          </w:tcPr>
          <w:p w:rsidR="00A0583D" w:rsidRPr="004A1A73" w:rsidRDefault="00A0583D" w:rsidP="00A0583D">
            <w:pPr>
              <w:rPr>
                <w:sz w:val="16"/>
                <w:szCs w:val="16"/>
              </w:rPr>
            </w:pPr>
            <w:r w:rsidRPr="004A1A73">
              <w:rPr>
                <w:sz w:val="16"/>
                <w:szCs w:val="16"/>
              </w:rPr>
              <w:t>Adopted by Academic Board</w:t>
            </w:r>
          </w:p>
        </w:tc>
        <w:tc>
          <w:tcPr>
            <w:tcW w:w="3964" w:type="dxa"/>
            <w:tcBorders>
              <w:top w:val="nil"/>
              <w:left w:val="nil"/>
              <w:bottom w:val="nil"/>
              <w:right w:val="single" w:sz="4" w:space="0" w:color="auto"/>
            </w:tcBorders>
            <w:hideMark/>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hideMark/>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C866EF" w:rsidP="00A0583D">
            <w:pPr>
              <w:rPr>
                <w:sz w:val="16"/>
                <w:szCs w:val="16"/>
              </w:rPr>
            </w:pPr>
            <w:r>
              <w:rPr>
                <w:sz w:val="16"/>
                <w:szCs w:val="16"/>
              </w:rPr>
              <w:t>LT&amp;SE</w:t>
            </w:r>
            <w:r w:rsidR="00FF14EA">
              <w:rPr>
                <w:sz w:val="16"/>
                <w:szCs w:val="16"/>
              </w:rPr>
              <w:t xml:space="preserve"> Team</w:t>
            </w: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nil"/>
              <w:right w:val="nil"/>
            </w:tcBorders>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nil"/>
              <w:left w:val="single" w:sz="4" w:space="0" w:color="auto"/>
              <w:bottom w:val="single" w:sz="4" w:space="0" w:color="auto"/>
              <w:right w:val="nil"/>
            </w:tcBorders>
          </w:tcPr>
          <w:p w:rsidR="00A0583D" w:rsidRPr="004A1A73" w:rsidRDefault="00A0583D" w:rsidP="00A0583D">
            <w:pPr>
              <w:rPr>
                <w:sz w:val="16"/>
                <w:szCs w:val="16"/>
              </w:rPr>
            </w:pPr>
          </w:p>
        </w:tc>
        <w:tc>
          <w:tcPr>
            <w:tcW w:w="3964" w:type="dxa"/>
            <w:tcBorders>
              <w:top w:val="nil"/>
              <w:left w:val="nil"/>
              <w:bottom w:val="single" w:sz="4" w:space="0" w:color="auto"/>
              <w:right w:val="single" w:sz="4" w:space="0" w:color="auto"/>
            </w:tcBorders>
          </w:tcPr>
          <w:p w:rsidR="00A0583D" w:rsidRPr="004A1A73" w:rsidRDefault="00A0583D" w:rsidP="00A0583D">
            <w:pPr>
              <w:rPr>
                <w:sz w:val="16"/>
                <w:szCs w:val="16"/>
              </w:rPr>
            </w:pPr>
          </w:p>
        </w:tc>
      </w:tr>
      <w:tr w:rsidR="00A0583D" w:rsidRPr="004A1A73" w:rsidTr="00A0583D">
        <w:tc>
          <w:tcPr>
            <w:tcW w:w="5096" w:type="dxa"/>
            <w:gridSpan w:val="3"/>
            <w:tcBorders>
              <w:top w:val="single" w:sz="4" w:space="0" w:color="auto"/>
              <w:left w:val="nil"/>
              <w:bottom w:val="single" w:sz="4" w:space="0" w:color="auto"/>
              <w:right w:val="nil"/>
            </w:tcBorders>
          </w:tcPr>
          <w:p w:rsidR="00A0583D" w:rsidRPr="004A1A73" w:rsidRDefault="00A0583D" w:rsidP="00A0583D">
            <w:pPr>
              <w:rPr>
                <w:sz w:val="16"/>
                <w:szCs w:val="16"/>
              </w:rPr>
            </w:pPr>
          </w:p>
        </w:tc>
        <w:tc>
          <w:tcPr>
            <w:tcW w:w="3964" w:type="dxa"/>
            <w:tcBorders>
              <w:top w:val="single" w:sz="4" w:space="0" w:color="auto"/>
              <w:left w:val="nil"/>
              <w:bottom w:val="single" w:sz="4" w:space="0" w:color="auto"/>
              <w:right w:val="nil"/>
            </w:tcBorders>
          </w:tcPr>
          <w:p w:rsidR="00A0583D" w:rsidRPr="004A1A73" w:rsidRDefault="00A0583D" w:rsidP="00A0583D">
            <w:pPr>
              <w:rPr>
                <w:sz w:val="16"/>
                <w:szCs w:val="16"/>
              </w:rPr>
            </w:pPr>
          </w:p>
        </w:tc>
      </w:tr>
      <w:tr w:rsidR="00A0583D" w:rsidRPr="004A1A73" w:rsidTr="00A0583D">
        <w:tc>
          <w:tcPr>
            <w:tcW w:w="9060" w:type="dxa"/>
            <w:gridSpan w:val="4"/>
            <w:tcBorders>
              <w:top w:val="single" w:sz="4" w:space="0" w:color="auto"/>
              <w:left w:val="single" w:sz="4" w:space="0" w:color="auto"/>
              <w:bottom w:val="nil"/>
              <w:right w:val="single" w:sz="4" w:space="0" w:color="auto"/>
            </w:tcBorders>
            <w:hideMark/>
          </w:tcPr>
          <w:p w:rsidR="00A0583D" w:rsidRPr="004A1A73" w:rsidRDefault="00936C87" w:rsidP="00A0583D">
            <w:pPr>
              <w:rPr>
                <w:sz w:val="16"/>
                <w:szCs w:val="16"/>
              </w:rPr>
            </w:pPr>
            <w:r>
              <w:rPr>
                <w:sz w:val="16"/>
                <w:szCs w:val="16"/>
              </w:rPr>
              <w:t>This is a new Policy.</w:t>
            </w:r>
          </w:p>
        </w:tc>
      </w:tr>
      <w:tr w:rsidR="00A0583D" w:rsidRPr="004A1A73" w:rsidTr="00A0583D">
        <w:tc>
          <w:tcPr>
            <w:tcW w:w="1663" w:type="dxa"/>
            <w:tcBorders>
              <w:top w:val="nil"/>
              <w:left w:val="single" w:sz="4" w:space="0" w:color="auto"/>
              <w:bottom w:val="nil"/>
              <w:right w:val="nil"/>
            </w:tcBorders>
            <w:hideMark/>
          </w:tcPr>
          <w:p w:rsidR="00A0583D" w:rsidRPr="004A1A73" w:rsidRDefault="00A0583D" w:rsidP="00A0583D">
            <w:pPr>
              <w:rPr>
                <w:sz w:val="16"/>
                <w:szCs w:val="16"/>
              </w:rPr>
            </w:pPr>
            <w:r w:rsidRPr="004A1A73">
              <w:rPr>
                <w:sz w:val="16"/>
                <w:szCs w:val="16"/>
              </w:rPr>
              <w:t>Section/Paragraph</w:t>
            </w:r>
          </w:p>
        </w:tc>
        <w:tc>
          <w:tcPr>
            <w:tcW w:w="3433" w:type="dxa"/>
            <w:gridSpan w:val="2"/>
            <w:hideMark/>
          </w:tcPr>
          <w:p w:rsidR="00A0583D" w:rsidRPr="004A1A73" w:rsidRDefault="00A0583D" w:rsidP="00A0583D">
            <w:pPr>
              <w:rPr>
                <w:sz w:val="16"/>
                <w:szCs w:val="16"/>
              </w:rPr>
            </w:pPr>
            <w:r w:rsidRPr="004A1A73">
              <w:rPr>
                <w:sz w:val="16"/>
                <w:szCs w:val="16"/>
              </w:rPr>
              <w:t>Title</w:t>
            </w:r>
          </w:p>
        </w:tc>
        <w:tc>
          <w:tcPr>
            <w:tcW w:w="3964" w:type="dxa"/>
            <w:tcBorders>
              <w:top w:val="nil"/>
              <w:left w:val="nil"/>
              <w:bottom w:val="nil"/>
              <w:right w:val="single" w:sz="4" w:space="0" w:color="auto"/>
            </w:tcBorders>
            <w:hideMark/>
          </w:tcPr>
          <w:p w:rsidR="00A0583D" w:rsidRPr="004A1A73" w:rsidRDefault="00A0583D" w:rsidP="00A0583D">
            <w:pPr>
              <w:rPr>
                <w:sz w:val="16"/>
                <w:szCs w:val="16"/>
              </w:rPr>
            </w:pPr>
            <w:r w:rsidRPr="004A1A73">
              <w:rPr>
                <w:sz w:val="16"/>
                <w:szCs w:val="16"/>
              </w:rPr>
              <w:t>Change:</w:t>
            </w: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nil"/>
              <w:right w:val="nil"/>
            </w:tcBorders>
          </w:tcPr>
          <w:p w:rsidR="00A0583D" w:rsidRPr="004A1A73" w:rsidRDefault="00A0583D" w:rsidP="00A0583D">
            <w:pPr>
              <w:rPr>
                <w:sz w:val="16"/>
                <w:szCs w:val="16"/>
              </w:rPr>
            </w:pPr>
          </w:p>
        </w:tc>
        <w:tc>
          <w:tcPr>
            <w:tcW w:w="3433" w:type="dxa"/>
            <w:gridSpan w:val="2"/>
          </w:tcPr>
          <w:p w:rsidR="00A0583D" w:rsidRPr="004A1A73" w:rsidRDefault="00A0583D" w:rsidP="00A0583D">
            <w:pPr>
              <w:rPr>
                <w:sz w:val="16"/>
                <w:szCs w:val="16"/>
              </w:rPr>
            </w:pPr>
          </w:p>
        </w:tc>
        <w:tc>
          <w:tcPr>
            <w:tcW w:w="3964" w:type="dxa"/>
            <w:tcBorders>
              <w:top w:val="nil"/>
              <w:left w:val="nil"/>
              <w:bottom w:val="nil"/>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nil"/>
              <w:left w:val="single" w:sz="4" w:space="0" w:color="auto"/>
              <w:bottom w:val="single" w:sz="4" w:space="0" w:color="auto"/>
              <w:right w:val="nil"/>
            </w:tcBorders>
          </w:tcPr>
          <w:p w:rsidR="00A0583D" w:rsidRPr="004A1A73" w:rsidRDefault="00A0583D" w:rsidP="00A0583D">
            <w:pPr>
              <w:rPr>
                <w:sz w:val="16"/>
                <w:szCs w:val="16"/>
              </w:rPr>
            </w:pPr>
          </w:p>
        </w:tc>
        <w:tc>
          <w:tcPr>
            <w:tcW w:w="3433" w:type="dxa"/>
            <w:gridSpan w:val="2"/>
            <w:tcBorders>
              <w:top w:val="nil"/>
              <w:left w:val="nil"/>
              <w:bottom w:val="single" w:sz="4" w:space="0" w:color="auto"/>
              <w:right w:val="nil"/>
            </w:tcBorders>
          </w:tcPr>
          <w:p w:rsidR="00A0583D" w:rsidRPr="004A1A73" w:rsidRDefault="00A0583D" w:rsidP="00A0583D">
            <w:pPr>
              <w:rPr>
                <w:sz w:val="16"/>
                <w:szCs w:val="16"/>
              </w:rPr>
            </w:pPr>
          </w:p>
        </w:tc>
        <w:tc>
          <w:tcPr>
            <w:tcW w:w="3964" w:type="dxa"/>
            <w:tcBorders>
              <w:top w:val="nil"/>
              <w:left w:val="nil"/>
              <w:bottom w:val="single" w:sz="4" w:space="0" w:color="auto"/>
              <w:right w:val="single" w:sz="4" w:space="0" w:color="auto"/>
            </w:tcBorders>
          </w:tcPr>
          <w:p w:rsidR="00A0583D" w:rsidRPr="004A1A73" w:rsidRDefault="00A0583D" w:rsidP="00A0583D">
            <w:pPr>
              <w:rPr>
                <w:sz w:val="16"/>
                <w:szCs w:val="16"/>
              </w:rPr>
            </w:pPr>
          </w:p>
        </w:tc>
      </w:tr>
      <w:tr w:rsidR="00A0583D" w:rsidRPr="004A1A73" w:rsidTr="00A0583D">
        <w:tc>
          <w:tcPr>
            <w:tcW w:w="1663" w:type="dxa"/>
            <w:tcBorders>
              <w:top w:val="single" w:sz="4" w:space="0" w:color="auto"/>
              <w:left w:val="nil"/>
              <w:bottom w:val="nil"/>
              <w:right w:val="nil"/>
            </w:tcBorders>
          </w:tcPr>
          <w:p w:rsidR="00A0583D" w:rsidRPr="004A1A73" w:rsidRDefault="00A0583D" w:rsidP="00A0583D">
            <w:pPr>
              <w:rPr>
                <w:sz w:val="16"/>
                <w:szCs w:val="16"/>
              </w:rPr>
            </w:pPr>
          </w:p>
        </w:tc>
        <w:tc>
          <w:tcPr>
            <w:tcW w:w="3433" w:type="dxa"/>
            <w:gridSpan w:val="2"/>
            <w:tcBorders>
              <w:top w:val="single" w:sz="4" w:space="0" w:color="auto"/>
              <w:left w:val="nil"/>
              <w:bottom w:val="nil"/>
              <w:right w:val="nil"/>
            </w:tcBorders>
          </w:tcPr>
          <w:p w:rsidR="00A0583D" w:rsidRPr="004A1A73" w:rsidRDefault="00A0583D" w:rsidP="00A0583D">
            <w:pPr>
              <w:rPr>
                <w:sz w:val="16"/>
                <w:szCs w:val="16"/>
              </w:rPr>
            </w:pPr>
          </w:p>
        </w:tc>
        <w:tc>
          <w:tcPr>
            <w:tcW w:w="3964" w:type="dxa"/>
            <w:tcBorders>
              <w:top w:val="single" w:sz="4" w:space="0" w:color="auto"/>
              <w:left w:val="nil"/>
              <w:bottom w:val="nil"/>
              <w:right w:val="nil"/>
            </w:tcBorders>
          </w:tcPr>
          <w:p w:rsidR="00A0583D" w:rsidRPr="004A1A73" w:rsidRDefault="00A0583D" w:rsidP="00A0583D">
            <w:pPr>
              <w:rPr>
                <w:sz w:val="16"/>
                <w:szCs w:val="16"/>
              </w:rPr>
            </w:pPr>
          </w:p>
        </w:tc>
      </w:tr>
    </w:tbl>
    <w:p w:rsidR="00A0583D" w:rsidRDefault="00A0583D" w:rsidP="00A0583D">
      <w:pPr>
        <w:pStyle w:val="Default"/>
        <w:rPr>
          <w:sz w:val="22"/>
          <w:szCs w:val="22"/>
        </w:rPr>
      </w:pPr>
    </w:p>
    <w:p w:rsidR="00A0583D" w:rsidRDefault="00A0583D" w:rsidP="00A0583D">
      <w:pPr>
        <w:pStyle w:val="Default"/>
        <w:rPr>
          <w:sz w:val="22"/>
          <w:szCs w:val="22"/>
        </w:rPr>
      </w:pPr>
    </w:p>
    <w:p w:rsidR="00A0583D" w:rsidRPr="00224645" w:rsidRDefault="00A0583D" w:rsidP="00A0583D">
      <w:pPr>
        <w:pStyle w:val="Default"/>
        <w:rPr>
          <w:sz w:val="22"/>
          <w:szCs w:val="22"/>
        </w:rPr>
      </w:pPr>
    </w:p>
    <w:p w:rsidR="00A0583D" w:rsidRPr="00224645" w:rsidRDefault="00A0583D" w:rsidP="00A0583D"/>
    <w:p w:rsidR="00A0583D" w:rsidRPr="00224645" w:rsidRDefault="00A0583D" w:rsidP="00A0583D">
      <w:r w:rsidRPr="00224645">
        <w:br w:type="page"/>
      </w:r>
    </w:p>
    <w:p w:rsidR="00A0583D" w:rsidRPr="00A0583D" w:rsidRDefault="00A0583D" w:rsidP="00A0583D">
      <w:pPr>
        <w:rPr>
          <w:b/>
          <w:sz w:val="24"/>
          <w:szCs w:val="24"/>
        </w:rPr>
      </w:pPr>
      <w:r w:rsidRPr="00A0583D">
        <w:rPr>
          <w:b/>
          <w:sz w:val="24"/>
          <w:szCs w:val="24"/>
        </w:rPr>
        <w:lastRenderedPageBreak/>
        <w:t>Contents</w:t>
      </w:r>
    </w:p>
    <w:p w:rsidR="00A0583D" w:rsidRPr="00224645" w:rsidRDefault="00A0583D" w:rsidP="00A0583D"/>
    <w:p w:rsidR="00B24C1A" w:rsidRDefault="00A0583D">
      <w:pPr>
        <w:pStyle w:val="TOC1"/>
        <w:rPr>
          <w:rFonts w:asciiTheme="minorHAnsi" w:eastAsiaTheme="minorEastAsia" w:hAnsiTheme="minorHAnsi" w:cstheme="minorBidi"/>
          <w:noProof/>
          <w:szCs w:val="22"/>
          <w:lang w:eastAsia="en-GB"/>
        </w:rPr>
      </w:pPr>
      <w:r w:rsidRPr="00224645">
        <w:fldChar w:fldCharType="begin"/>
      </w:r>
      <w:r w:rsidRPr="00224645">
        <w:instrText xml:space="preserve"> TOC \o "1-3" \h \z \u </w:instrText>
      </w:r>
      <w:r w:rsidRPr="00224645">
        <w:fldChar w:fldCharType="separate"/>
      </w:r>
      <w:hyperlink w:anchor="_Toc62470801" w:history="1">
        <w:r w:rsidR="00B24C1A" w:rsidRPr="003A1A86">
          <w:rPr>
            <w:rStyle w:val="Hyperlink"/>
            <w:noProof/>
          </w:rPr>
          <w:t>1.</w:t>
        </w:r>
        <w:r w:rsidR="00B24C1A">
          <w:rPr>
            <w:rFonts w:asciiTheme="minorHAnsi" w:eastAsiaTheme="minorEastAsia" w:hAnsiTheme="minorHAnsi" w:cstheme="minorBidi"/>
            <w:noProof/>
            <w:szCs w:val="22"/>
            <w:lang w:eastAsia="en-GB"/>
          </w:rPr>
          <w:tab/>
        </w:r>
        <w:r w:rsidR="00B24C1A" w:rsidRPr="003A1A86">
          <w:rPr>
            <w:rStyle w:val="Hyperlink"/>
            <w:noProof/>
          </w:rPr>
          <w:t>Statement of intent</w:t>
        </w:r>
        <w:r w:rsidR="00B24C1A">
          <w:rPr>
            <w:noProof/>
            <w:webHidden/>
          </w:rPr>
          <w:tab/>
        </w:r>
        <w:r w:rsidR="00B24C1A">
          <w:rPr>
            <w:noProof/>
            <w:webHidden/>
          </w:rPr>
          <w:fldChar w:fldCharType="begin"/>
        </w:r>
        <w:r w:rsidR="00B24C1A">
          <w:rPr>
            <w:noProof/>
            <w:webHidden/>
          </w:rPr>
          <w:instrText xml:space="preserve"> PAGEREF _Toc62470801 \h </w:instrText>
        </w:r>
        <w:r w:rsidR="00B24C1A">
          <w:rPr>
            <w:noProof/>
            <w:webHidden/>
          </w:rPr>
        </w:r>
        <w:r w:rsidR="00B24C1A">
          <w:rPr>
            <w:noProof/>
            <w:webHidden/>
          </w:rPr>
          <w:fldChar w:fldCharType="separate"/>
        </w:r>
        <w:r w:rsidR="00B24C1A">
          <w:rPr>
            <w:noProof/>
            <w:webHidden/>
          </w:rPr>
          <w:t>4</w:t>
        </w:r>
        <w:r w:rsidR="00B24C1A">
          <w:rPr>
            <w:noProof/>
            <w:webHidden/>
          </w:rPr>
          <w:fldChar w:fldCharType="end"/>
        </w:r>
      </w:hyperlink>
    </w:p>
    <w:p w:rsidR="00B24C1A" w:rsidRDefault="001E60F1">
      <w:pPr>
        <w:pStyle w:val="TOC1"/>
        <w:rPr>
          <w:rFonts w:asciiTheme="minorHAnsi" w:eastAsiaTheme="minorEastAsia" w:hAnsiTheme="minorHAnsi" w:cstheme="minorBidi"/>
          <w:noProof/>
          <w:szCs w:val="22"/>
          <w:lang w:eastAsia="en-GB"/>
        </w:rPr>
      </w:pPr>
      <w:hyperlink w:anchor="_Toc62470802" w:history="1">
        <w:r w:rsidR="00B24C1A" w:rsidRPr="003A1A86">
          <w:rPr>
            <w:rStyle w:val="Hyperlink"/>
            <w:noProof/>
          </w:rPr>
          <w:t>2.</w:t>
        </w:r>
        <w:r w:rsidR="00B24C1A">
          <w:rPr>
            <w:rFonts w:asciiTheme="minorHAnsi" w:eastAsiaTheme="minorEastAsia" w:hAnsiTheme="minorHAnsi" w:cstheme="minorBidi"/>
            <w:noProof/>
            <w:szCs w:val="22"/>
            <w:lang w:eastAsia="en-GB"/>
          </w:rPr>
          <w:tab/>
        </w:r>
        <w:r w:rsidR="00B24C1A" w:rsidRPr="003A1A86">
          <w:rPr>
            <w:rStyle w:val="Hyperlink"/>
            <w:noProof/>
          </w:rPr>
          <w:t>Student entitlements</w:t>
        </w:r>
        <w:r w:rsidR="00B24C1A">
          <w:rPr>
            <w:noProof/>
            <w:webHidden/>
          </w:rPr>
          <w:tab/>
        </w:r>
        <w:r w:rsidR="00B24C1A">
          <w:rPr>
            <w:noProof/>
            <w:webHidden/>
          </w:rPr>
          <w:fldChar w:fldCharType="begin"/>
        </w:r>
        <w:r w:rsidR="00B24C1A">
          <w:rPr>
            <w:noProof/>
            <w:webHidden/>
          </w:rPr>
          <w:instrText xml:space="preserve"> PAGEREF _Toc62470802 \h </w:instrText>
        </w:r>
        <w:r w:rsidR="00B24C1A">
          <w:rPr>
            <w:noProof/>
            <w:webHidden/>
          </w:rPr>
        </w:r>
        <w:r w:rsidR="00B24C1A">
          <w:rPr>
            <w:noProof/>
            <w:webHidden/>
          </w:rPr>
          <w:fldChar w:fldCharType="separate"/>
        </w:r>
        <w:r w:rsidR="00B24C1A">
          <w:rPr>
            <w:noProof/>
            <w:webHidden/>
          </w:rPr>
          <w:t>4</w:t>
        </w:r>
        <w:r w:rsidR="00B24C1A">
          <w:rPr>
            <w:noProof/>
            <w:webHidden/>
          </w:rPr>
          <w:fldChar w:fldCharType="end"/>
        </w:r>
      </w:hyperlink>
    </w:p>
    <w:p w:rsidR="00B24C1A" w:rsidRDefault="001E60F1">
      <w:pPr>
        <w:pStyle w:val="TOC1"/>
        <w:rPr>
          <w:rFonts w:asciiTheme="minorHAnsi" w:eastAsiaTheme="minorEastAsia" w:hAnsiTheme="minorHAnsi" w:cstheme="minorBidi"/>
          <w:noProof/>
          <w:szCs w:val="22"/>
          <w:lang w:eastAsia="en-GB"/>
        </w:rPr>
      </w:pPr>
      <w:hyperlink w:anchor="_Toc62470803" w:history="1">
        <w:r w:rsidR="00B24C1A" w:rsidRPr="003A1A86">
          <w:rPr>
            <w:rStyle w:val="Hyperlink"/>
            <w:noProof/>
          </w:rPr>
          <w:t>3.</w:t>
        </w:r>
        <w:r w:rsidR="00B24C1A">
          <w:rPr>
            <w:rFonts w:asciiTheme="minorHAnsi" w:eastAsiaTheme="minorEastAsia" w:hAnsiTheme="minorHAnsi" w:cstheme="minorBidi"/>
            <w:noProof/>
            <w:szCs w:val="22"/>
            <w:lang w:eastAsia="en-GB"/>
          </w:rPr>
          <w:tab/>
        </w:r>
        <w:r w:rsidR="00B24C1A" w:rsidRPr="003A1A86">
          <w:rPr>
            <w:rStyle w:val="Hyperlink"/>
            <w:noProof/>
          </w:rPr>
          <w:t>Staff entitlements</w:t>
        </w:r>
        <w:r w:rsidR="00B24C1A">
          <w:rPr>
            <w:noProof/>
            <w:webHidden/>
          </w:rPr>
          <w:tab/>
        </w:r>
        <w:r w:rsidR="00B24C1A">
          <w:rPr>
            <w:noProof/>
            <w:webHidden/>
          </w:rPr>
          <w:fldChar w:fldCharType="begin"/>
        </w:r>
        <w:r w:rsidR="00B24C1A">
          <w:rPr>
            <w:noProof/>
            <w:webHidden/>
          </w:rPr>
          <w:instrText xml:space="preserve"> PAGEREF _Toc62470803 \h </w:instrText>
        </w:r>
        <w:r w:rsidR="00B24C1A">
          <w:rPr>
            <w:noProof/>
            <w:webHidden/>
          </w:rPr>
        </w:r>
        <w:r w:rsidR="00B24C1A">
          <w:rPr>
            <w:noProof/>
            <w:webHidden/>
          </w:rPr>
          <w:fldChar w:fldCharType="separate"/>
        </w:r>
        <w:r w:rsidR="00B24C1A">
          <w:rPr>
            <w:noProof/>
            <w:webHidden/>
          </w:rPr>
          <w:t>6</w:t>
        </w:r>
        <w:r w:rsidR="00B24C1A">
          <w:rPr>
            <w:noProof/>
            <w:webHidden/>
          </w:rPr>
          <w:fldChar w:fldCharType="end"/>
        </w:r>
      </w:hyperlink>
    </w:p>
    <w:p w:rsidR="00B24C1A" w:rsidRDefault="001E60F1">
      <w:pPr>
        <w:pStyle w:val="TOC1"/>
        <w:rPr>
          <w:rFonts w:asciiTheme="minorHAnsi" w:eastAsiaTheme="minorEastAsia" w:hAnsiTheme="minorHAnsi" w:cstheme="minorBidi"/>
          <w:noProof/>
          <w:szCs w:val="22"/>
          <w:lang w:eastAsia="en-GB"/>
        </w:rPr>
      </w:pPr>
      <w:hyperlink w:anchor="_Toc62470804" w:history="1">
        <w:r w:rsidR="00B24C1A" w:rsidRPr="003A1A86">
          <w:rPr>
            <w:rStyle w:val="Hyperlink"/>
            <w:noProof/>
          </w:rPr>
          <w:t>4.</w:t>
        </w:r>
        <w:r w:rsidR="00B24C1A">
          <w:rPr>
            <w:rFonts w:asciiTheme="minorHAnsi" w:eastAsiaTheme="minorEastAsia" w:hAnsiTheme="minorHAnsi" w:cstheme="minorBidi"/>
            <w:noProof/>
            <w:szCs w:val="22"/>
            <w:lang w:eastAsia="en-GB"/>
          </w:rPr>
          <w:tab/>
        </w:r>
        <w:r w:rsidR="00B24C1A" w:rsidRPr="003A1A86">
          <w:rPr>
            <w:rStyle w:val="Hyperlink"/>
            <w:noProof/>
          </w:rPr>
          <w:t>Commitments relating to Academic Adviser Support</w:t>
        </w:r>
        <w:r w:rsidR="00B24C1A">
          <w:rPr>
            <w:noProof/>
            <w:webHidden/>
          </w:rPr>
          <w:tab/>
        </w:r>
        <w:r w:rsidR="00B24C1A">
          <w:rPr>
            <w:noProof/>
            <w:webHidden/>
          </w:rPr>
          <w:fldChar w:fldCharType="begin"/>
        </w:r>
        <w:r w:rsidR="00B24C1A">
          <w:rPr>
            <w:noProof/>
            <w:webHidden/>
          </w:rPr>
          <w:instrText xml:space="preserve"> PAGEREF _Toc62470804 \h </w:instrText>
        </w:r>
        <w:r w:rsidR="00B24C1A">
          <w:rPr>
            <w:noProof/>
            <w:webHidden/>
          </w:rPr>
        </w:r>
        <w:r w:rsidR="00B24C1A">
          <w:rPr>
            <w:noProof/>
            <w:webHidden/>
          </w:rPr>
          <w:fldChar w:fldCharType="separate"/>
        </w:r>
        <w:r w:rsidR="00B24C1A">
          <w:rPr>
            <w:noProof/>
            <w:webHidden/>
          </w:rPr>
          <w:t>6</w:t>
        </w:r>
        <w:r w:rsidR="00B24C1A">
          <w:rPr>
            <w:noProof/>
            <w:webHidden/>
          </w:rPr>
          <w:fldChar w:fldCharType="end"/>
        </w:r>
      </w:hyperlink>
    </w:p>
    <w:p w:rsidR="00A0583D" w:rsidRPr="00224645" w:rsidRDefault="00A0583D" w:rsidP="00A0583D">
      <w:pPr>
        <w:sectPr w:rsidR="00A0583D" w:rsidRPr="00224645" w:rsidSect="00A0583D">
          <w:pgSz w:w="11906" w:h="16838"/>
          <w:pgMar w:top="1418" w:right="1418" w:bottom="1418" w:left="1418" w:header="709" w:footer="709" w:gutter="0"/>
          <w:pgNumType w:start="1"/>
          <w:cols w:space="708"/>
          <w:titlePg/>
          <w:docGrid w:linePitch="360"/>
        </w:sectPr>
      </w:pPr>
      <w:r w:rsidRPr="00224645">
        <w:fldChar w:fldCharType="end"/>
      </w:r>
    </w:p>
    <w:p w:rsidR="00936C87" w:rsidRPr="00936C87" w:rsidRDefault="00936C87" w:rsidP="00936C87">
      <w:pPr>
        <w:rPr>
          <w:b/>
          <w:sz w:val="24"/>
          <w:szCs w:val="24"/>
        </w:rPr>
      </w:pPr>
      <w:bookmarkStart w:id="0" w:name="_Ref486346110"/>
      <w:bookmarkStart w:id="1" w:name="_Toc50043435"/>
      <w:r w:rsidRPr="00936C87">
        <w:rPr>
          <w:b/>
          <w:sz w:val="24"/>
          <w:szCs w:val="24"/>
        </w:rPr>
        <w:lastRenderedPageBreak/>
        <w:t>University of Chichester Policy on the role of the Academic Adviser</w:t>
      </w:r>
      <w:bookmarkEnd w:id="0"/>
      <w:bookmarkEnd w:id="1"/>
    </w:p>
    <w:p w:rsidR="00936C87" w:rsidRPr="00936C87" w:rsidRDefault="00936C87" w:rsidP="00936C87">
      <w:pPr>
        <w:pStyle w:val="Heading1"/>
      </w:pPr>
      <w:bookmarkStart w:id="2" w:name="_Toc62470801"/>
      <w:r w:rsidRPr="00936C87">
        <w:t>Statement of intent</w:t>
      </w:r>
      <w:bookmarkEnd w:id="2"/>
    </w:p>
    <w:p w:rsidR="00936C87" w:rsidRPr="00AD1DB5" w:rsidRDefault="00936C87" w:rsidP="00936C87">
      <w:r w:rsidRPr="00AD1DB5">
        <w:t xml:space="preserve">The University believes that its students should have regular opportunities to review the academic, personal wellbeing and employability aspects of their development as they progress through their programme. The Academic Adviser role complements both direct programme delivery by academic staff and specialist support by various student services. It involves systematic contact throughout their degree with an appropriately supported member of academic staff.  This is to ensure that appropriate advice and support are provided, student concerns are quickly identified and addressed, and causes of student withdrawal are minimised. </w:t>
      </w:r>
    </w:p>
    <w:p w:rsidR="00936C87" w:rsidRPr="00AD1DB5" w:rsidRDefault="00936C87" w:rsidP="00936C87">
      <w:pPr>
        <w:pStyle w:val="Heading1"/>
      </w:pPr>
      <w:bookmarkStart w:id="3" w:name="_Toc62470802"/>
      <w:r w:rsidRPr="00AD1DB5">
        <w:t>Student entitlements</w:t>
      </w:r>
      <w:bookmarkEnd w:id="3"/>
      <w:r w:rsidRPr="00AD1DB5">
        <w:t xml:space="preserve"> </w:t>
      </w:r>
    </w:p>
    <w:p w:rsidR="00936C87" w:rsidRPr="00AD1DB5" w:rsidRDefault="00936C87" w:rsidP="00936C87">
      <w:r w:rsidRPr="00AD1DB5">
        <w:t xml:space="preserve">All students of the University of Chichester are entitled: </w:t>
      </w:r>
    </w:p>
    <w:p w:rsidR="00936C87" w:rsidRPr="00AD1DB5" w:rsidRDefault="00936C87" w:rsidP="00936C87">
      <w:pPr>
        <w:pStyle w:val="ListParagraph"/>
        <w:widowControl/>
        <w:numPr>
          <w:ilvl w:val="0"/>
          <w:numId w:val="20"/>
        </w:numPr>
        <w:autoSpaceDE/>
        <w:autoSpaceDN/>
        <w:adjustRightInd/>
        <w:spacing w:before="120"/>
        <w:ind w:left="357" w:right="-116" w:hanging="357"/>
        <w:contextualSpacing w:val="0"/>
      </w:pPr>
      <w:r w:rsidRPr="00AD1DB5">
        <w:t xml:space="preserve">To take part in an induction process which prepares them for their programme of study and gives information concerning both their programme and the support systems that are available. As a minimum this should include the following information: </w:t>
      </w:r>
    </w:p>
    <w:p w:rsidR="00936C87" w:rsidRPr="00AD1DB5" w:rsidRDefault="00936C87" w:rsidP="00936C87">
      <w:pPr>
        <w:pStyle w:val="ListParagraph"/>
        <w:widowControl/>
        <w:numPr>
          <w:ilvl w:val="0"/>
          <w:numId w:val="19"/>
        </w:numPr>
        <w:autoSpaceDE/>
        <w:autoSpaceDN/>
        <w:adjustRightInd/>
        <w:spacing w:before="120"/>
        <w:ind w:left="714" w:right="-116" w:hanging="357"/>
        <w:contextualSpacing w:val="0"/>
      </w:pPr>
      <w:r w:rsidRPr="00AD1DB5">
        <w:t xml:space="preserve">A statement that each new student is assigned an Academic Adviser on arrival, and where information about who this is can be found; for </w:t>
      </w:r>
      <w:r w:rsidR="00B24C1A" w:rsidRPr="00AD1DB5">
        <w:t>example,</w:t>
      </w:r>
      <w:r w:rsidRPr="00AD1DB5">
        <w:t xml:space="preserve"> programme notice boards or Moodle. </w:t>
      </w:r>
    </w:p>
    <w:p w:rsidR="00936C87" w:rsidRPr="00AD1DB5" w:rsidRDefault="00936C87" w:rsidP="00936C87">
      <w:pPr>
        <w:pStyle w:val="ListParagraph"/>
        <w:widowControl/>
        <w:numPr>
          <w:ilvl w:val="0"/>
          <w:numId w:val="19"/>
        </w:numPr>
        <w:autoSpaceDE/>
        <w:autoSpaceDN/>
        <w:adjustRightInd/>
        <w:spacing w:before="120"/>
        <w:ind w:left="714" w:right="-257" w:hanging="357"/>
        <w:contextualSpacing w:val="0"/>
      </w:pPr>
      <w:r w:rsidRPr="00AD1DB5">
        <w:t>A description of how students meet their Academic Adviser for the first time, and the nature of arrangements for subsequent meetings; the description might include reference to a booking system for meetings, regular tutorial hours, or the use of email for setting up meetings or resolving issues online.</w:t>
      </w:r>
    </w:p>
    <w:p w:rsidR="00936C87" w:rsidRPr="00AD1DB5" w:rsidRDefault="00936C87" w:rsidP="00936C87">
      <w:pPr>
        <w:pStyle w:val="ListParagraph"/>
        <w:widowControl/>
        <w:numPr>
          <w:ilvl w:val="0"/>
          <w:numId w:val="19"/>
        </w:numPr>
        <w:autoSpaceDE/>
        <w:autoSpaceDN/>
        <w:adjustRightInd/>
        <w:spacing w:before="120"/>
        <w:ind w:left="714" w:right="-116" w:hanging="357"/>
        <w:contextualSpacing w:val="0"/>
      </w:pPr>
      <w:r w:rsidRPr="00AD1DB5">
        <w:t>A description about how Academic Adviser arrangements differ as students progress from year one of the programme; for example, while arrangements might be formally timetabled for first year students, second or third</w:t>
      </w:r>
      <w:r w:rsidR="00B24C1A">
        <w:t>-</w:t>
      </w:r>
      <w:r w:rsidRPr="00AD1DB5">
        <w:t xml:space="preserve">year students may be encouraged to take more responsibility for maintaining regular contact.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A statement about the availability of Academic Advisers; individual tutors should publicise times when they are available and times for meetings; for </w:t>
      </w:r>
      <w:r w:rsidR="00B24C1A" w:rsidRPr="00AD1DB5">
        <w:t>example,</w:t>
      </w:r>
      <w:r w:rsidRPr="00AD1DB5">
        <w:t xml:space="preserve"> by use of Moodle and/or the use of social media.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Information about other sources of guidance and advice within the Department such as Head or Director of Department, Year Tutor, Programme Leader, Department and Programme Administrators, to whom they may speak as an alternative to the Academic Adviser if they so wish.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Students should be told where they can find out about the University-wide specialist support services to whom they may speak as an alternative to the Academic Adviser if they so wish. These include Student Support and Wellbeing services, Careers and Employability, Academic Skills Advice and the Accommodation Service.  Students should also be made aware of the Students’ Union and other professional services support.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A statement of reassurance about the confidentiality of meetings with Academic Advisers, with the proviso that matters that have to be dealt with more formally may need to have confidentiality extended. </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To have access to the above information in a variety of formats, such as the programme handbook, online and an introductory letter/email from the Academic Adviser to tutees. </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To have a member of staff (not necessarily a tutor on the student’s programme) regularly available to offer Academic Advising support, as defined in 1 above. This should </w:t>
      </w:r>
      <w:r w:rsidRPr="00AD1DB5">
        <w:lastRenderedPageBreak/>
        <w:t xml:space="preserve">normally be one individual for the duration of an academic year or the entire programme, based in the student’s own department, although there may be occasions where it would be more appropriate for a student to change their Academic Adviser for academic reasons. Programme or Year Leaders should </w:t>
      </w:r>
      <w:proofErr w:type="gramStart"/>
      <w:r w:rsidRPr="00AD1DB5">
        <w:t>give consideration to</w:t>
      </w:r>
      <w:proofErr w:type="gramEnd"/>
      <w:r w:rsidRPr="00AD1DB5">
        <w:t xml:space="preserve"> how this may be facilitated within their Academic Department.</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As appropriate, to </w:t>
      </w:r>
      <w:r w:rsidRPr="001E60F1">
        <w:t>have personal development planning (PDP) and the Higher Education Achievement Report (HEAR)</w:t>
      </w:r>
      <w:r w:rsidRPr="001E60F1">
        <w:rPr>
          <w:rStyle w:val="FootnoteReference"/>
        </w:rPr>
        <w:footnoteReference w:id="1"/>
      </w:r>
      <w:r w:rsidRPr="001E60F1">
        <w:t xml:space="preserve"> </w:t>
      </w:r>
      <w:r w:rsidR="008647D3" w:rsidRPr="001E60F1">
        <w:t>or equivalent</w:t>
      </w:r>
      <w:r w:rsidR="008647D3">
        <w:t xml:space="preserve"> </w:t>
      </w:r>
      <w:r w:rsidRPr="00AD1DB5">
        <w:t xml:space="preserve">incorporated into the personal, academic tutoring session </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To have access to Academic Adviser support from their allocated member of staff as a formal session </w:t>
      </w:r>
      <w:r w:rsidRPr="00AD1DB5">
        <w:rPr>
          <w:u w:val="single"/>
        </w:rPr>
        <w:t>at least once per semester as a minimum</w:t>
      </w:r>
      <w:r w:rsidRPr="00AD1DB5">
        <w:t xml:space="preserve">. This should be scheduled in a way appropriate to the specific mode of learning and may include comparable arrangements for those programmes associated with professional standards/requirements.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For first year (L4) students the first meeting should be scheduled to take place within 3 weeks of arrival with another meeting scheduled to take place to discuss progress based on marks from the first semester </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Meetings with second years (L5) should be scheduled within 5 weeks of their returning</w:t>
      </w:r>
    </w:p>
    <w:p w:rsidR="00936C87" w:rsidRPr="00AD1DB5" w:rsidRDefault="00936C87" w:rsidP="00936C87">
      <w:pPr>
        <w:pStyle w:val="ListParagraph"/>
        <w:widowControl/>
        <w:numPr>
          <w:ilvl w:val="0"/>
          <w:numId w:val="19"/>
        </w:numPr>
        <w:autoSpaceDE/>
        <w:autoSpaceDN/>
        <w:adjustRightInd/>
        <w:spacing w:before="120"/>
        <w:ind w:left="714" w:hanging="357"/>
        <w:contextualSpacing w:val="0"/>
      </w:pPr>
      <w:r w:rsidRPr="00AD1DB5">
        <w:t xml:space="preserve">Arrangements for students in their third or subsequent year may be more flexible, reflecting other sources of academic support available e.g. for final year dissertation. </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To be given reasonable (at least a week) notice of their scheduled academic advisory sessions, with reasonable efforts being made to ensure students attend the meetings to which they have been invited.  Some Academic Departments highlight such sessions to students at the commencement of each Semester.</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To request an ad hoc tutorial meeting where the student has grounds for seeking advice from their Academic Adviser.</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To have in place procedures which will be followed if they fail to attend scheduled tutorial meetings (for example, what efforts will be made to contact them, whether the Programme Leader or Year Tutor will be alerted if they are not responding, and what checks will be made on their academic performance).   Tutorial meetings are normally managed by Academic Advisers and do not form part of the timetable.  They are therefore not usually monitored via the SAM (Student Attendance Monitoring) system and so are not subject to the same follow up procedures.</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To have in place procedures which will be followed if they fail to attend scheduled programme sessions (eg lectures, seminars, workshops) as identified by the SAM system or other established attendance monitoring processes. These procedures are documented in the ‘Student Attendance and Absence Policy’. In some Departments the Academic Adviser will be responsible for following up students so identified.  In other Departments this will be the responsibility of the Programme Leader or Year Tutor.</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To have any reasonable request for a change of allocated Academic Adviser considered seriously, and an alternative proposed where possible. Programme or Year Leaders should </w:t>
      </w:r>
      <w:proofErr w:type="gramStart"/>
      <w:r w:rsidRPr="00AD1DB5">
        <w:t>give consideration to</w:t>
      </w:r>
      <w:proofErr w:type="gramEnd"/>
      <w:r w:rsidRPr="00AD1DB5">
        <w:t xml:space="preserve"> how this may be facilitated within their Academic Department.</w:t>
      </w:r>
    </w:p>
    <w:p w:rsidR="00936C87" w:rsidRPr="00AD1DB5" w:rsidRDefault="00936C87" w:rsidP="00936C87">
      <w:pPr>
        <w:pStyle w:val="ListParagraph"/>
        <w:widowControl/>
        <w:numPr>
          <w:ilvl w:val="0"/>
          <w:numId w:val="20"/>
        </w:numPr>
        <w:autoSpaceDE/>
        <w:autoSpaceDN/>
        <w:adjustRightInd/>
        <w:spacing w:before="120"/>
        <w:ind w:left="357" w:hanging="357"/>
        <w:contextualSpacing w:val="0"/>
      </w:pPr>
      <w:r w:rsidRPr="00AD1DB5">
        <w:t xml:space="preserve">Where necessary, to be encouraged to self-refer by their Academic Adviser to one or more of the specialist Student Support and Wellbeing services or other appropriate </w:t>
      </w:r>
      <w:r w:rsidRPr="00AD1DB5">
        <w:lastRenderedPageBreak/>
        <w:t>professional department such as Finance, Student Records or Academic Quality and Standards Service (AQSS).</w:t>
      </w:r>
    </w:p>
    <w:p w:rsidR="00936C87" w:rsidRPr="00AD1DB5" w:rsidRDefault="00936C87" w:rsidP="00936C87">
      <w:pPr>
        <w:pStyle w:val="Heading1"/>
        <w:rPr>
          <w:sz w:val="22"/>
        </w:rPr>
      </w:pPr>
      <w:bookmarkStart w:id="4" w:name="_Toc62470803"/>
      <w:r w:rsidRPr="00AD1DB5">
        <w:t>Staff entitlements</w:t>
      </w:r>
      <w:bookmarkEnd w:id="4"/>
      <w:r w:rsidRPr="00AD1DB5">
        <w:t xml:space="preserve"> </w:t>
      </w:r>
    </w:p>
    <w:p w:rsidR="00936C87" w:rsidRPr="00AD1DB5" w:rsidRDefault="00936C87" w:rsidP="00936C87">
      <w:pPr>
        <w:rPr>
          <w:b/>
        </w:rPr>
      </w:pPr>
      <w:r w:rsidRPr="00AD1DB5">
        <w:rPr>
          <w:b/>
        </w:rPr>
        <w:t xml:space="preserve">Staff acting as Academic Advisers are entitled: </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 xml:space="preserve">To have a clear specification of the Academic Adviser role (see statement of intent), including how the role fits with other student support roles within the Department and University. </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To have access to a designated lead person responsible for personal, academic tutoring within the Department (normally the Programme Leader or Year Tutor) for advice on referral issues and crisis situations.</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 xml:space="preserve">To be provided with training where necessary to assist with the specified role.  For </w:t>
      </w:r>
      <w:r w:rsidR="00B24C1A" w:rsidRPr="00AD1DB5">
        <w:t>example,</w:t>
      </w:r>
      <w:r w:rsidRPr="00AD1DB5">
        <w:t xml:space="preserve"> procedures to be followed if students fail to attend scheduled programme sessions (eg as identified by the SAM system) or tutorial meetings, including the efforts to be made to contact the student.</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 xml:space="preserve">To receive guidance on what records should be kept to record the meeting and how to record other information as agreed between the student and adviser/tutor. </w:t>
      </w:r>
    </w:p>
    <w:p w:rsidR="00936C87" w:rsidRDefault="00936C87" w:rsidP="00936C87">
      <w:pPr>
        <w:pStyle w:val="ListParagraph"/>
        <w:widowControl/>
        <w:numPr>
          <w:ilvl w:val="0"/>
          <w:numId w:val="21"/>
        </w:numPr>
        <w:autoSpaceDE/>
        <w:autoSpaceDN/>
        <w:adjustRightInd/>
        <w:spacing w:before="120"/>
        <w:ind w:left="357" w:hanging="357"/>
        <w:contextualSpacing w:val="0"/>
      </w:pPr>
      <w:r w:rsidRPr="00AD1DB5">
        <w:t>To decline to act as Academic Adviser to an individual student in exceptional circumstances.</w:t>
      </w:r>
    </w:p>
    <w:p w:rsidR="00936C87" w:rsidRPr="00AD1DB5" w:rsidRDefault="00936C87" w:rsidP="00936C87">
      <w:pPr>
        <w:widowControl/>
        <w:autoSpaceDE/>
        <w:autoSpaceDN/>
        <w:adjustRightInd/>
        <w:spacing w:before="120"/>
      </w:pPr>
    </w:p>
    <w:p w:rsidR="00936C87" w:rsidRPr="00AD1DB5" w:rsidRDefault="00936C87" w:rsidP="00936C87">
      <w:pPr>
        <w:rPr>
          <w:b/>
        </w:rPr>
      </w:pPr>
      <w:r w:rsidRPr="00AD1DB5">
        <w:rPr>
          <w:b/>
        </w:rPr>
        <w:t xml:space="preserve">Staff responsible for leading on academic tutoring (normally the Programme Leader or Year Tutor) within the Department are entitled: </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To have specialist support and training from the Student</w:t>
      </w:r>
      <w:r w:rsidR="00B24C1A">
        <w:t>,</w:t>
      </w:r>
      <w:r w:rsidRPr="00AD1DB5">
        <w:t xml:space="preserve"> Support and </w:t>
      </w:r>
      <w:r w:rsidR="00B24C1A">
        <w:t xml:space="preserve">Information Services </w:t>
      </w:r>
      <w:r w:rsidRPr="00AD1DB5">
        <w:t xml:space="preserve">Directorate on the boundaries between Academic Advising and specialist support. </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 xml:space="preserve">To have information updates from Student Support and Wellbeing on serious matters relating to student safeguarding and welfare, including Fitness to Study and Fitness to Practise. </w:t>
      </w:r>
    </w:p>
    <w:p w:rsidR="00936C87" w:rsidRPr="00AD1DB5" w:rsidRDefault="00936C87" w:rsidP="00936C87">
      <w:pPr>
        <w:pStyle w:val="ListParagraph"/>
        <w:widowControl/>
        <w:numPr>
          <w:ilvl w:val="0"/>
          <w:numId w:val="21"/>
        </w:numPr>
        <w:autoSpaceDE/>
        <w:autoSpaceDN/>
        <w:adjustRightInd/>
        <w:spacing w:before="120"/>
        <w:ind w:left="357" w:hanging="357"/>
        <w:contextualSpacing w:val="0"/>
      </w:pPr>
      <w:r w:rsidRPr="00AD1DB5">
        <w:t>To receive training on dealing with crisis situations as appropriate.</w:t>
      </w:r>
    </w:p>
    <w:p w:rsidR="00936C87" w:rsidRPr="00AD1DB5" w:rsidRDefault="00936C87" w:rsidP="00936C87">
      <w:pPr>
        <w:pStyle w:val="Heading1"/>
      </w:pPr>
      <w:bookmarkStart w:id="5" w:name="_Toc62470804"/>
      <w:r w:rsidRPr="00AD1DB5">
        <w:t>Commitments relating to Academic Adviser Support</w:t>
      </w:r>
      <w:bookmarkEnd w:id="5"/>
      <w:r w:rsidRPr="00AD1DB5">
        <w:t xml:space="preserve"> </w:t>
      </w:r>
    </w:p>
    <w:p w:rsidR="00936C87" w:rsidRDefault="00936C87" w:rsidP="00936C87">
      <w:r w:rsidRPr="00AD1DB5">
        <w:t xml:space="preserve">Academic Adviser support is not a ‘stand-alone’ add-on, but is intertwined with academic support and guidance delivered through the Academic Department structure. The delivery of Academic Adviser support will reflect the spirit of equal opportunities through the following commitments.  </w:t>
      </w:r>
    </w:p>
    <w:p w:rsidR="00936C87" w:rsidRPr="00AD1DB5" w:rsidRDefault="00936C87" w:rsidP="00936C87"/>
    <w:p w:rsidR="00936C87" w:rsidRPr="00AD1DB5" w:rsidRDefault="00936C87" w:rsidP="00936C87">
      <w:pPr>
        <w:keepNext/>
      </w:pPr>
      <w:r w:rsidRPr="00AD1DB5">
        <w:t xml:space="preserve">Academic Departments will: </w:t>
      </w:r>
    </w:p>
    <w:p w:rsidR="00936C87" w:rsidRPr="00AD1DB5"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Ensure that the mechanisms for delivery of Academic Advisory Tutorial support will be fair and non-discriminatory. </w:t>
      </w:r>
    </w:p>
    <w:p w:rsidR="00936C87" w:rsidRPr="00AD1DB5"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Ensure that Academic Advisory Tutorial support is delivered sensitively, objectively and in a non-judgmental manner, recognising and responding to a diversity of needs and situations. </w:t>
      </w:r>
    </w:p>
    <w:p w:rsidR="00936C87" w:rsidRPr="00AD1DB5"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Provide opportunities for students to give feedback on personal support issues and take steps to ensure that students are aware of these opportunities such as ‘Student Voice’ consultations having a remit for Academic Adviser support. </w:t>
      </w:r>
    </w:p>
    <w:p w:rsidR="00936C87" w:rsidRPr="00AD1DB5"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Ensure that those following combined programmes are not disadvantaged within the tutorial system and that there is an overview of the student’s experience.  It is expected </w:t>
      </w:r>
      <w:r w:rsidRPr="00AD1DB5">
        <w:lastRenderedPageBreak/>
        <w:t>that one Department will lead and this should be agreed between the relevant Programme Leaders/Year Tutors.</w:t>
      </w:r>
    </w:p>
    <w:p w:rsidR="00936C87" w:rsidRPr="00AD1DB5"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Ensure that Academic Advisers are well informed in relation to cultural diversity and other equal opportunities issues. </w:t>
      </w:r>
    </w:p>
    <w:p w:rsidR="00936C87" w:rsidRDefault="00936C87" w:rsidP="00936C87">
      <w:pPr>
        <w:pStyle w:val="ListParagraph"/>
        <w:widowControl/>
        <w:numPr>
          <w:ilvl w:val="0"/>
          <w:numId w:val="22"/>
        </w:numPr>
        <w:autoSpaceDE/>
        <w:autoSpaceDN/>
        <w:adjustRightInd/>
        <w:spacing w:before="120"/>
        <w:ind w:left="357" w:hanging="357"/>
        <w:contextualSpacing w:val="0"/>
      </w:pPr>
      <w:r w:rsidRPr="00AD1DB5">
        <w:t xml:space="preserve">Inform students with disabilities of appropriate University support services, as part of the Department’s overall </w:t>
      </w:r>
      <w:r w:rsidRPr="001E60F1">
        <w:t>information to students (see section 2.a</w:t>
      </w:r>
      <w:r w:rsidR="001E60F1">
        <w:t>.</w:t>
      </w:r>
      <w:r w:rsidRPr="001E60F1">
        <w:t xml:space="preserve"> and b</w:t>
      </w:r>
      <w:r w:rsidR="001E60F1">
        <w:t>.</w:t>
      </w:r>
      <w:bookmarkStart w:id="6" w:name="_GoBack"/>
      <w:bookmarkEnd w:id="6"/>
      <w:r w:rsidRPr="001E60F1">
        <w:t xml:space="preserve"> above</w:t>
      </w:r>
      <w:r w:rsidR="001E60F1">
        <w:t>)</w:t>
      </w:r>
      <w:r w:rsidR="00B24C1A" w:rsidRPr="001E60F1">
        <w:t>.</w:t>
      </w:r>
    </w:p>
    <w:sectPr w:rsidR="00936C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527" w:rsidRDefault="00475527" w:rsidP="00EC5497">
      <w:r>
        <w:separator/>
      </w:r>
    </w:p>
  </w:endnote>
  <w:endnote w:type="continuationSeparator" w:id="0">
    <w:p w:rsidR="00475527" w:rsidRDefault="00475527" w:rsidP="00EC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anist777BT-LightB">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06477852"/>
      <w:docPartObj>
        <w:docPartGallery w:val="Page Numbers (Bottom of Page)"/>
        <w:docPartUnique/>
      </w:docPartObj>
    </w:sdtPr>
    <w:sdtEndPr>
      <w:rPr>
        <w:noProof/>
      </w:rPr>
    </w:sdtEndPr>
    <w:sdtContent>
      <w:p w:rsidR="00936C87" w:rsidRPr="00936C87" w:rsidRDefault="00936C87" w:rsidP="00936C87">
        <w:pPr>
          <w:pStyle w:val="Footer"/>
          <w:tabs>
            <w:tab w:val="clear" w:pos="8640"/>
            <w:tab w:val="right" w:pos="9356"/>
          </w:tabs>
          <w:rPr>
            <w:sz w:val="20"/>
          </w:rPr>
        </w:pPr>
        <w:r w:rsidRPr="00A0583D">
          <w:rPr>
            <w:sz w:val="20"/>
          </w:rPr>
          <w:t xml:space="preserve">Policy </w:t>
        </w:r>
        <w:r>
          <w:rPr>
            <w:sz w:val="20"/>
          </w:rPr>
          <w:t>on the role of Academic Adviser</w:t>
        </w:r>
        <w:r>
          <w:rPr>
            <w:sz w:val="20"/>
          </w:rPr>
          <w:tab/>
        </w:r>
        <w:r w:rsidRPr="00A0583D">
          <w:rPr>
            <w:sz w:val="20"/>
          </w:rPr>
          <w:tab/>
        </w:r>
        <w:r w:rsidRPr="00A0583D">
          <w:rPr>
            <w:sz w:val="20"/>
          </w:rPr>
          <w:fldChar w:fldCharType="begin"/>
        </w:r>
        <w:r w:rsidRPr="00A0583D">
          <w:rPr>
            <w:sz w:val="20"/>
          </w:rPr>
          <w:instrText xml:space="preserve"> PAGE   \* MERGEFORMAT </w:instrText>
        </w:r>
        <w:r w:rsidRPr="00A0583D">
          <w:rPr>
            <w:sz w:val="20"/>
          </w:rPr>
          <w:fldChar w:fldCharType="separate"/>
        </w:r>
        <w:r>
          <w:rPr>
            <w:sz w:val="20"/>
          </w:rPr>
          <w:t>1</w:t>
        </w:r>
        <w:r w:rsidRPr="00A0583D">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527" w:rsidRDefault="00475527" w:rsidP="00EC5497">
      <w:r>
        <w:separator/>
      </w:r>
    </w:p>
  </w:footnote>
  <w:footnote w:type="continuationSeparator" w:id="0">
    <w:p w:rsidR="00475527" w:rsidRDefault="00475527" w:rsidP="00EC5497">
      <w:r>
        <w:continuationSeparator/>
      </w:r>
    </w:p>
  </w:footnote>
  <w:footnote w:id="1">
    <w:p w:rsidR="00936C87" w:rsidRPr="00B24C1A" w:rsidRDefault="00936C87" w:rsidP="00936C87">
      <w:pPr>
        <w:pStyle w:val="FootnoteText"/>
        <w:rPr>
          <w:sz w:val="18"/>
          <w:szCs w:val="18"/>
        </w:rPr>
      </w:pPr>
      <w:r w:rsidRPr="0015157D">
        <w:rPr>
          <w:rStyle w:val="FootnoteReference"/>
        </w:rPr>
        <w:footnoteRef/>
      </w:r>
      <w:r w:rsidRPr="0015157D">
        <w:t xml:space="preserve"> </w:t>
      </w:r>
      <w:hyperlink r:id="rId1" w:history="1">
        <w:r w:rsidRPr="00B24C1A">
          <w:rPr>
            <w:rStyle w:val="Hyperlink"/>
            <w:sz w:val="18"/>
            <w:szCs w:val="18"/>
          </w:rPr>
          <w:t>The HEAR (Higher Education Achievement Report)</w:t>
        </w:r>
      </w:hyperlink>
      <w:r w:rsidRPr="00B24C1A">
        <w:rPr>
          <w:sz w:val="18"/>
          <w:szCs w:val="18"/>
        </w:rPr>
        <w:t xml:space="preserve"> is a University-verified, electronic document which records broader achievements in addition to programme and module details and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87" w:rsidRPr="00936C87" w:rsidRDefault="00936C87" w:rsidP="00936C87">
    <w:pPr>
      <w:pStyle w:val="Header"/>
      <w:ind w:left="720"/>
      <w:jc w:val="right"/>
      <w:rPr>
        <w:sz w:val="16"/>
        <w:szCs w:val="16"/>
      </w:rPr>
    </w:pPr>
    <w:r w:rsidRPr="00A0583D">
      <w:rPr>
        <w:sz w:val="16"/>
        <w:szCs w:val="16"/>
      </w:rPr>
      <w:t>The University of Chichester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48778"/>
    <w:multiLevelType w:val="hybridMultilevel"/>
    <w:tmpl w:val="AA60E7F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FA1D73"/>
    <w:multiLevelType w:val="hybridMultilevel"/>
    <w:tmpl w:val="FB101A66"/>
    <w:lvl w:ilvl="0" w:tplc="8990BE36">
      <w:start w:val="1"/>
      <w:numFmt w:val="bullet"/>
      <w:lvlText w:val=""/>
      <w:lvlJc w:val="left"/>
      <w:pPr>
        <w:ind w:left="1080" w:hanging="360"/>
      </w:pPr>
      <w:rPr>
        <w:rFonts w:ascii="Wingdings 2" w:hAnsi="Wingdings 2"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A4F02"/>
    <w:multiLevelType w:val="hybridMultilevel"/>
    <w:tmpl w:val="71E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3D7E"/>
    <w:multiLevelType w:val="hybridMultilevel"/>
    <w:tmpl w:val="778C9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CD0AF2"/>
    <w:multiLevelType w:val="hybridMultilevel"/>
    <w:tmpl w:val="5412A126"/>
    <w:lvl w:ilvl="0" w:tplc="8990BE3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70302"/>
    <w:multiLevelType w:val="hybridMultilevel"/>
    <w:tmpl w:val="2E2A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674E7"/>
    <w:multiLevelType w:val="hybridMultilevel"/>
    <w:tmpl w:val="24C0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648F8"/>
    <w:multiLevelType w:val="hybridMultilevel"/>
    <w:tmpl w:val="8F1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D3A35"/>
    <w:multiLevelType w:val="hybridMultilevel"/>
    <w:tmpl w:val="8A324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9A0B9"/>
    <w:multiLevelType w:val="hybridMultilevel"/>
    <w:tmpl w:val="96CE5DE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86C76DB"/>
    <w:multiLevelType w:val="hybridMultilevel"/>
    <w:tmpl w:val="E0D02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113263"/>
    <w:multiLevelType w:val="hybridMultilevel"/>
    <w:tmpl w:val="6A9EB058"/>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35704935"/>
    <w:multiLevelType w:val="hybridMultilevel"/>
    <w:tmpl w:val="6A9EB058"/>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367678FD"/>
    <w:multiLevelType w:val="hybridMultilevel"/>
    <w:tmpl w:val="CA4A23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CC162A"/>
    <w:multiLevelType w:val="hybridMultilevel"/>
    <w:tmpl w:val="1BFABA34"/>
    <w:lvl w:ilvl="0" w:tplc="08090019">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1FA4B9E"/>
    <w:multiLevelType w:val="multilevel"/>
    <w:tmpl w:val="2BFE349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5F3062"/>
    <w:multiLevelType w:val="hybridMultilevel"/>
    <w:tmpl w:val="D612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914A7"/>
    <w:multiLevelType w:val="hybridMultilevel"/>
    <w:tmpl w:val="1E2A7D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B27999"/>
    <w:multiLevelType w:val="hybridMultilevel"/>
    <w:tmpl w:val="6A9EB058"/>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6D7D17EB"/>
    <w:multiLevelType w:val="hybridMultilevel"/>
    <w:tmpl w:val="7A12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63BD7"/>
    <w:multiLevelType w:val="hybridMultilevel"/>
    <w:tmpl w:val="AD78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9"/>
  </w:num>
  <w:num w:numId="5">
    <w:abstractNumId w:val="14"/>
  </w:num>
  <w:num w:numId="6">
    <w:abstractNumId w:val="6"/>
  </w:num>
  <w:num w:numId="7">
    <w:abstractNumId w:val="3"/>
  </w:num>
  <w:num w:numId="8">
    <w:abstractNumId w:val="11"/>
  </w:num>
  <w:num w:numId="9">
    <w:abstractNumId w:val="8"/>
  </w:num>
  <w:num w:numId="10">
    <w:abstractNumId w:val="20"/>
  </w:num>
  <w:num w:numId="11">
    <w:abstractNumId w:val="2"/>
  </w:num>
  <w:num w:numId="12">
    <w:abstractNumId w:val="5"/>
  </w:num>
  <w:num w:numId="13">
    <w:abstractNumId w:val="15"/>
  </w:num>
  <w:num w:numId="14">
    <w:abstractNumId w:val="21"/>
  </w:num>
  <w:num w:numId="15">
    <w:abstractNumId w:val="7"/>
  </w:num>
  <w:num w:numId="16">
    <w:abstractNumId w:val="4"/>
  </w:num>
  <w:num w:numId="17">
    <w:abstractNumId w:val="17"/>
  </w:num>
  <w:num w:numId="18">
    <w:abstractNumId w:val="16"/>
  </w:num>
  <w:num w:numId="19">
    <w:abstractNumId w:val="18"/>
  </w:num>
  <w:num w:numId="20">
    <w:abstractNumId w:val="13"/>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AE"/>
    <w:rsid w:val="000106B5"/>
    <w:rsid w:val="000160AF"/>
    <w:rsid w:val="00025650"/>
    <w:rsid w:val="00032730"/>
    <w:rsid w:val="00060294"/>
    <w:rsid w:val="00080107"/>
    <w:rsid w:val="00097EB4"/>
    <w:rsid w:val="000C5658"/>
    <w:rsid w:val="000D1D57"/>
    <w:rsid w:val="000D2BF3"/>
    <w:rsid w:val="000D3B04"/>
    <w:rsid w:val="000E2E7F"/>
    <w:rsid w:val="00103D74"/>
    <w:rsid w:val="00130B32"/>
    <w:rsid w:val="001563AE"/>
    <w:rsid w:val="00174827"/>
    <w:rsid w:val="001A2F2C"/>
    <w:rsid w:val="001B266D"/>
    <w:rsid w:val="001C2826"/>
    <w:rsid w:val="001C29B4"/>
    <w:rsid w:val="001E4218"/>
    <w:rsid w:val="001E60F1"/>
    <w:rsid w:val="001F71EB"/>
    <w:rsid w:val="0020419F"/>
    <w:rsid w:val="00230D02"/>
    <w:rsid w:val="0023442F"/>
    <w:rsid w:val="00243B14"/>
    <w:rsid w:val="002454EC"/>
    <w:rsid w:val="00253E68"/>
    <w:rsid w:val="002A4D15"/>
    <w:rsid w:val="002B7B02"/>
    <w:rsid w:val="00304870"/>
    <w:rsid w:val="0039349F"/>
    <w:rsid w:val="003A626B"/>
    <w:rsid w:val="004008AD"/>
    <w:rsid w:val="00415135"/>
    <w:rsid w:val="00430771"/>
    <w:rsid w:val="004561CB"/>
    <w:rsid w:val="00456A1D"/>
    <w:rsid w:val="004605A1"/>
    <w:rsid w:val="00475527"/>
    <w:rsid w:val="00487E06"/>
    <w:rsid w:val="004917E0"/>
    <w:rsid w:val="00492ECC"/>
    <w:rsid w:val="004A1A73"/>
    <w:rsid w:val="004D5AFE"/>
    <w:rsid w:val="004D6843"/>
    <w:rsid w:val="00552AA0"/>
    <w:rsid w:val="00571060"/>
    <w:rsid w:val="005725FC"/>
    <w:rsid w:val="005A0FC9"/>
    <w:rsid w:val="005A55E1"/>
    <w:rsid w:val="005B3E2D"/>
    <w:rsid w:val="005C12BA"/>
    <w:rsid w:val="005C67CD"/>
    <w:rsid w:val="005F36A7"/>
    <w:rsid w:val="00601EE6"/>
    <w:rsid w:val="00623254"/>
    <w:rsid w:val="006277D1"/>
    <w:rsid w:val="00631314"/>
    <w:rsid w:val="00635DF6"/>
    <w:rsid w:val="00663EB7"/>
    <w:rsid w:val="00680CAA"/>
    <w:rsid w:val="00687A87"/>
    <w:rsid w:val="006A3A3D"/>
    <w:rsid w:val="006E11EE"/>
    <w:rsid w:val="006E4879"/>
    <w:rsid w:val="006F3C08"/>
    <w:rsid w:val="007059C9"/>
    <w:rsid w:val="007124F6"/>
    <w:rsid w:val="00733DA1"/>
    <w:rsid w:val="00766CCB"/>
    <w:rsid w:val="00774846"/>
    <w:rsid w:val="007752CB"/>
    <w:rsid w:val="00783CB6"/>
    <w:rsid w:val="00797AA8"/>
    <w:rsid w:val="007E02AF"/>
    <w:rsid w:val="007F0DA8"/>
    <w:rsid w:val="00805428"/>
    <w:rsid w:val="008143CE"/>
    <w:rsid w:val="008144AB"/>
    <w:rsid w:val="008173C5"/>
    <w:rsid w:val="0082137F"/>
    <w:rsid w:val="0082157B"/>
    <w:rsid w:val="008400B6"/>
    <w:rsid w:val="008647D3"/>
    <w:rsid w:val="008A3C71"/>
    <w:rsid w:val="008C1D92"/>
    <w:rsid w:val="008C1D9C"/>
    <w:rsid w:val="008C7625"/>
    <w:rsid w:val="008D5934"/>
    <w:rsid w:val="00906B01"/>
    <w:rsid w:val="00914AE3"/>
    <w:rsid w:val="00917C3B"/>
    <w:rsid w:val="00922FA2"/>
    <w:rsid w:val="00932B24"/>
    <w:rsid w:val="00936C87"/>
    <w:rsid w:val="009730DD"/>
    <w:rsid w:val="00977C48"/>
    <w:rsid w:val="00997675"/>
    <w:rsid w:val="009A1D0B"/>
    <w:rsid w:val="009A3F2A"/>
    <w:rsid w:val="009A7035"/>
    <w:rsid w:val="009C09DA"/>
    <w:rsid w:val="009D7B45"/>
    <w:rsid w:val="009E1C0C"/>
    <w:rsid w:val="009E4A3C"/>
    <w:rsid w:val="009E6C10"/>
    <w:rsid w:val="009F6C2B"/>
    <w:rsid w:val="00A0583D"/>
    <w:rsid w:val="00A432BA"/>
    <w:rsid w:val="00A668FB"/>
    <w:rsid w:val="00A73A97"/>
    <w:rsid w:val="00A86B6B"/>
    <w:rsid w:val="00A95020"/>
    <w:rsid w:val="00AB14F0"/>
    <w:rsid w:val="00AD493D"/>
    <w:rsid w:val="00AD6E2E"/>
    <w:rsid w:val="00AE6A10"/>
    <w:rsid w:val="00AF0F4D"/>
    <w:rsid w:val="00B12201"/>
    <w:rsid w:val="00B24C1A"/>
    <w:rsid w:val="00B30C5A"/>
    <w:rsid w:val="00B32301"/>
    <w:rsid w:val="00B43DEF"/>
    <w:rsid w:val="00B61031"/>
    <w:rsid w:val="00B754B9"/>
    <w:rsid w:val="00B82B7A"/>
    <w:rsid w:val="00B842D0"/>
    <w:rsid w:val="00B85008"/>
    <w:rsid w:val="00BA2B96"/>
    <w:rsid w:val="00BC3679"/>
    <w:rsid w:val="00BD5B3A"/>
    <w:rsid w:val="00BF5326"/>
    <w:rsid w:val="00BF7EFE"/>
    <w:rsid w:val="00C06354"/>
    <w:rsid w:val="00C13441"/>
    <w:rsid w:val="00C404A0"/>
    <w:rsid w:val="00C4060B"/>
    <w:rsid w:val="00C50373"/>
    <w:rsid w:val="00C67708"/>
    <w:rsid w:val="00C73086"/>
    <w:rsid w:val="00C866EF"/>
    <w:rsid w:val="00CA2539"/>
    <w:rsid w:val="00D669C5"/>
    <w:rsid w:val="00DB23AC"/>
    <w:rsid w:val="00DC321E"/>
    <w:rsid w:val="00DE7331"/>
    <w:rsid w:val="00E17242"/>
    <w:rsid w:val="00E435E6"/>
    <w:rsid w:val="00E67AD8"/>
    <w:rsid w:val="00E80604"/>
    <w:rsid w:val="00E91515"/>
    <w:rsid w:val="00EA5D0D"/>
    <w:rsid w:val="00EC41B6"/>
    <w:rsid w:val="00EC5497"/>
    <w:rsid w:val="00ED11BB"/>
    <w:rsid w:val="00ED77ED"/>
    <w:rsid w:val="00EE51CB"/>
    <w:rsid w:val="00EF4BBB"/>
    <w:rsid w:val="00F23F4C"/>
    <w:rsid w:val="00F36CD2"/>
    <w:rsid w:val="00F44019"/>
    <w:rsid w:val="00F44571"/>
    <w:rsid w:val="00F53F87"/>
    <w:rsid w:val="00F802DA"/>
    <w:rsid w:val="00FB3D60"/>
    <w:rsid w:val="00FE1BB8"/>
    <w:rsid w:val="00FE55A5"/>
    <w:rsid w:val="00FF14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D7D7B7"/>
  <w15:docId w15:val="{8F9D0191-D317-4DF2-B2DA-7E9E9542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83D"/>
    <w:pPr>
      <w:widowControl w:val="0"/>
      <w:autoSpaceDE w:val="0"/>
      <w:autoSpaceDN w:val="0"/>
      <w:adjustRightInd w:val="0"/>
      <w:spacing w:after="0" w:line="240" w:lineRule="auto"/>
    </w:pPr>
    <w:rPr>
      <w:rFonts w:ascii="Arial" w:eastAsia="SimSun" w:hAnsi="Arial" w:cs="Arial"/>
      <w:szCs w:val="20"/>
      <w:lang w:eastAsia="zh-CN"/>
    </w:rPr>
  </w:style>
  <w:style w:type="paragraph" w:styleId="Heading1">
    <w:name w:val="heading 1"/>
    <w:basedOn w:val="Normal"/>
    <w:next w:val="Normal"/>
    <w:link w:val="Heading1Char"/>
    <w:uiPriority w:val="9"/>
    <w:qFormat/>
    <w:rsid w:val="00936C87"/>
    <w:pPr>
      <w:keepNext/>
      <w:keepLines/>
      <w:numPr>
        <w:numId w:val="18"/>
      </w:numPr>
      <w:spacing w:before="240" w:after="120"/>
      <w:ind w:left="425" w:hanging="425"/>
      <w:outlineLvl w:val="0"/>
    </w:pPr>
    <w:rPr>
      <w:rFonts w:eastAsiaTheme="majorEastAsia"/>
      <w:b/>
      <w:sz w:val="24"/>
      <w:szCs w:val="24"/>
    </w:rPr>
  </w:style>
  <w:style w:type="paragraph" w:styleId="Heading2">
    <w:name w:val="heading 2"/>
    <w:basedOn w:val="Heading1"/>
    <w:next w:val="Normal"/>
    <w:link w:val="Heading2Char"/>
    <w:uiPriority w:val="9"/>
    <w:unhideWhenUsed/>
    <w:qFormat/>
    <w:rsid w:val="00A0583D"/>
    <w:pPr>
      <w:numPr>
        <w:ilvl w:val="1"/>
      </w:numPr>
      <w:spacing w:after="240"/>
      <w:ind w:left="426" w:hanging="426"/>
      <w:outlineLvl w:val="1"/>
    </w:pPr>
    <w:rPr>
      <w:sz w:val="22"/>
      <w:szCs w:val="22"/>
    </w:rPr>
  </w:style>
  <w:style w:type="paragraph" w:styleId="Heading3">
    <w:name w:val="heading 3"/>
    <w:basedOn w:val="Heading2"/>
    <w:next w:val="Normal"/>
    <w:link w:val="Heading3Char"/>
    <w:uiPriority w:val="9"/>
    <w:unhideWhenUsed/>
    <w:qFormat/>
    <w:rsid w:val="00687A87"/>
    <w:pPr>
      <w:numPr>
        <w:ilvl w:val="2"/>
      </w:numPr>
      <w:ind w:left="567" w:hanging="567"/>
      <w:outlineLvl w:val="2"/>
    </w:pPr>
  </w:style>
  <w:style w:type="paragraph" w:styleId="Heading6">
    <w:name w:val="heading 6"/>
    <w:basedOn w:val="Default"/>
    <w:next w:val="Default"/>
    <w:link w:val="Heading6Char"/>
    <w:qFormat/>
    <w:rsid w:val="001563AE"/>
    <w:pPr>
      <w:outlineLvl w:val="5"/>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563AE"/>
    <w:rPr>
      <w:rFonts w:ascii="Arial" w:eastAsia="SimSun" w:hAnsi="Arial" w:cs="Times New Roman"/>
      <w:sz w:val="24"/>
      <w:szCs w:val="24"/>
      <w:lang w:eastAsia="zh-CN"/>
    </w:rPr>
  </w:style>
  <w:style w:type="paragraph" w:customStyle="1" w:styleId="Default">
    <w:name w:val="Default"/>
    <w:rsid w:val="001563AE"/>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NormalWeb">
    <w:name w:val="Normal (Web)"/>
    <w:basedOn w:val="Default"/>
    <w:next w:val="Default"/>
    <w:uiPriority w:val="99"/>
    <w:rsid w:val="001563AE"/>
    <w:pPr>
      <w:spacing w:before="100" w:after="100"/>
    </w:pPr>
    <w:rPr>
      <w:rFonts w:cs="Times New Roman"/>
      <w:color w:val="auto"/>
    </w:rPr>
  </w:style>
  <w:style w:type="paragraph" w:styleId="ListParagraph">
    <w:name w:val="List Paragraph"/>
    <w:basedOn w:val="Normal"/>
    <w:link w:val="ListParagraphChar"/>
    <w:uiPriority w:val="34"/>
    <w:qFormat/>
    <w:rsid w:val="00492ECC"/>
    <w:pPr>
      <w:ind w:left="720"/>
      <w:contextualSpacing/>
    </w:pPr>
  </w:style>
  <w:style w:type="character" w:styleId="CommentReference">
    <w:name w:val="annotation reference"/>
    <w:basedOn w:val="DefaultParagraphFont"/>
    <w:uiPriority w:val="99"/>
    <w:semiHidden/>
    <w:unhideWhenUsed/>
    <w:rsid w:val="00EF4BBB"/>
    <w:rPr>
      <w:sz w:val="16"/>
      <w:szCs w:val="16"/>
    </w:rPr>
  </w:style>
  <w:style w:type="paragraph" w:styleId="CommentText">
    <w:name w:val="annotation text"/>
    <w:basedOn w:val="Normal"/>
    <w:link w:val="CommentTextChar"/>
    <w:uiPriority w:val="99"/>
    <w:semiHidden/>
    <w:unhideWhenUsed/>
    <w:rsid w:val="00EF4BBB"/>
  </w:style>
  <w:style w:type="character" w:customStyle="1" w:styleId="CommentTextChar">
    <w:name w:val="Comment Text Char"/>
    <w:basedOn w:val="DefaultParagraphFont"/>
    <w:link w:val="CommentText"/>
    <w:uiPriority w:val="99"/>
    <w:semiHidden/>
    <w:rsid w:val="00EF4BBB"/>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F4BBB"/>
    <w:rPr>
      <w:b/>
      <w:bCs/>
    </w:rPr>
  </w:style>
  <w:style w:type="character" w:customStyle="1" w:styleId="CommentSubjectChar">
    <w:name w:val="Comment Subject Char"/>
    <w:basedOn w:val="CommentTextChar"/>
    <w:link w:val="CommentSubject"/>
    <w:uiPriority w:val="99"/>
    <w:semiHidden/>
    <w:rsid w:val="00EF4BBB"/>
    <w:rPr>
      <w:rFonts w:ascii="Arial" w:eastAsia="SimSun" w:hAnsi="Arial" w:cs="Times New Roman"/>
      <w:b/>
      <w:bCs/>
      <w:sz w:val="20"/>
      <w:szCs w:val="20"/>
      <w:lang w:eastAsia="zh-CN"/>
    </w:rPr>
  </w:style>
  <w:style w:type="paragraph" w:styleId="BalloonText">
    <w:name w:val="Balloon Text"/>
    <w:basedOn w:val="Normal"/>
    <w:link w:val="BalloonTextChar"/>
    <w:uiPriority w:val="99"/>
    <w:semiHidden/>
    <w:unhideWhenUsed/>
    <w:rsid w:val="00EF4BBB"/>
    <w:rPr>
      <w:rFonts w:ascii="Tahoma" w:hAnsi="Tahoma" w:cs="Tahoma"/>
      <w:sz w:val="16"/>
      <w:szCs w:val="16"/>
    </w:rPr>
  </w:style>
  <w:style w:type="character" w:customStyle="1" w:styleId="BalloonTextChar">
    <w:name w:val="Balloon Text Char"/>
    <w:basedOn w:val="DefaultParagraphFont"/>
    <w:link w:val="BalloonText"/>
    <w:uiPriority w:val="99"/>
    <w:semiHidden/>
    <w:rsid w:val="00EF4BBB"/>
    <w:rPr>
      <w:rFonts w:ascii="Tahoma" w:eastAsia="SimSun" w:hAnsi="Tahoma" w:cs="Tahoma"/>
      <w:sz w:val="16"/>
      <w:szCs w:val="16"/>
      <w:lang w:eastAsia="zh-CN"/>
    </w:rPr>
  </w:style>
  <w:style w:type="paragraph" w:styleId="FootnoteText">
    <w:name w:val="footnote text"/>
    <w:basedOn w:val="Normal"/>
    <w:link w:val="FootnoteTextChar"/>
    <w:uiPriority w:val="99"/>
    <w:unhideWhenUsed/>
    <w:rsid w:val="00635DF6"/>
  </w:style>
  <w:style w:type="character" w:customStyle="1" w:styleId="FootnoteTextChar">
    <w:name w:val="Footnote Text Char"/>
    <w:basedOn w:val="DefaultParagraphFont"/>
    <w:link w:val="FootnoteText"/>
    <w:uiPriority w:val="99"/>
    <w:rsid w:val="00635DF6"/>
    <w:rPr>
      <w:rFonts w:ascii="Arial" w:eastAsia="SimSun" w:hAnsi="Arial" w:cs="Times New Roman"/>
      <w:sz w:val="24"/>
      <w:szCs w:val="24"/>
      <w:lang w:eastAsia="zh-CN"/>
    </w:rPr>
  </w:style>
  <w:style w:type="character" w:styleId="FootnoteReference">
    <w:name w:val="footnote reference"/>
    <w:basedOn w:val="DefaultParagraphFont"/>
    <w:uiPriority w:val="99"/>
    <w:unhideWhenUsed/>
    <w:rsid w:val="00635DF6"/>
    <w:rPr>
      <w:vertAlign w:val="superscript"/>
    </w:rPr>
  </w:style>
  <w:style w:type="table" w:styleId="TableGrid">
    <w:name w:val="Table Grid"/>
    <w:basedOn w:val="TableNormal"/>
    <w:uiPriority w:val="39"/>
    <w:rsid w:val="0013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E4A3C"/>
    <w:pPr>
      <w:tabs>
        <w:tab w:val="center" w:pos="4320"/>
        <w:tab w:val="right" w:pos="8640"/>
      </w:tabs>
    </w:pPr>
  </w:style>
  <w:style w:type="character" w:customStyle="1" w:styleId="FooterChar">
    <w:name w:val="Footer Char"/>
    <w:basedOn w:val="DefaultParagraphFont"/>
    <w:link w:val="Footer"/>
    <w:uiPriority w:val="99"/>
    <w:rsid w:val="009E4A3C"/>
    <w:rPr>
      <w:rFonts w:ascii="Arial" w:eastAsia="SimSun" w:hAnsi="Arial" w:cs="Times New Roman"/>
      <w:sz w:val="24"/>
      <w:szCs w:val="24"/>
      <w:lang w:eastAsia="zh-CN"/>
    </w:rPr>
  </w:style>
  <w:style w:type="character" w:styleId="PageNumber">
    <w:name w:val="page number"/>
    <w:basedOn w:val="DefaultParagraphFont"/>
    <w:uiPriority w:val="99"/>
    <w:semiHidden/>
    <w:unhideWhenUsed/>
    <w:rsid w:val="009E4A3C"/>
  </w:style>
  <w:style w:type="character" w:styleId="Hyperlink">
    <w:name w:val="Hyperlink"/>
    <w:basedOn w:val="DefaultParagraphFont"/>
    <w:uiPriority w:val="99"/>
    <w:unhideWhenUsed/>
    <w:rsid w:val="00AF0F4D"/>
    <w:rPr>
      <w:color w:val="0000FF" w:themeColor="hyperlink"/>
      <w:u w:val="single"/>
    </w:rPr>
  </w:style>
  <w:style w:type="paragraph" w:styleId="Header">
    <w:name w:val="header"/>
    <w:basedOn w:val="Normal"/>
    <w:link w:val="HeaderChar"/>
    <w:uiPriority w:val="99"/>
    <w:unhideWhenUsed/>
    <w:rsid w:val="00430771"/>
    <w:pPr>
      <w:tabs>
        <w:tab w:val="center" w:pos="4513"/>
        <w:tab w:val="right" w:pos="9026"/>
      </w:tabs>
    </w:pPr>
  </w:style>
  <w:style w:type="character" w:customStyle="1" w:styleId="HeaderChar">
    <w:name w:val="Header Char"/>
    <w:basedOn w:val="DefaultParagraphFont"/>
    <w:link w:val="Header"/>
    <w:uiPriority w:val="99"/>
    <w:rsid w:val="00430771"/>
    <w:rPr>
      <w:rFonts w:ascii="Arial" w:eastAsia="SimSun" w:hAnsi="Arial" w:cs="Times New Roman"/>
      <w:sz w:val="24"/>
      <w:szCs w:val="24"/>
      <w:lang w:eastAsia="zh-CN"/>
    </w:rPr>
  </w:style>
  <w:style w:type="paragraph" w:styleId="Revision">
    <w:name w:val="Revision"/>
    <w:hidden/>
    <w:uiPriority w:val="99"/>
    <w:semiHidden/>
    <w:rsid w:val="004917E0"/>
    <w:pPr>
      <w:spacing w:after="0" w:line="240" w:lineRule="auto"/>
    </w:pPr>
    <w:rPr>
      <w:rFonts w:ascii="Arial" w:eastAsia="SimSun" w:hAnsi="Arial" w:cs="Times New Roman"/>
      <w:sz w:val="24"/>
      <w:szCs w:val="24"/>
      <w:lang w:eastAsia="zh-CN"/>
    </w:rPr>
  </w:style>
  <w:style w:type="character" w:customStyle="1" w:styleId="Heading1Char">
    <w:name w:val="Heading 1 Char"/>
    <w:basedOn w:val="DefaultParagraphFont"/>
    <w:link w:val="Heading1"/>
    <w:uiPriority w:val="9"/>
    <w:rsid w:val="00936C87"/>
    <w:rPr>
      <w:rFonts w:ascii="Arial" w:eastAsiaTheme="majorEastAsia" w:hAnsi="Arial" w:cs="Arial"/>
      <w:b/>
      <w:sz w:val="24"/>
      <w:szCs w:val="24"/>
      <w:lang w:eastAsia="zh-CN"/>
    </w:rPr>
  </w:style>
  <w:style w:type="paragraph" w:styleId="TOCHeading">
    <w:name w:val="TOC Heading"/>
    <w:basedOn w:val="Heading1"/>
    <w:next w:val="Normal"/>
    <w:uiPriority w:val="39"/>
    <w:unhideWhenUsed/>
    <w:qFormat/>
    <w:rsid w:val="00687A87"/>
    <w:pPr>
      <w:widowControl/>
      <w:numPr>
        <w:numId w:val="0"/>
      </w:numPr>
      <w:autoSpaceDE/>
      <w:autoSpaceDN/>
      <w:adjustRightInd/>
      <w:spacing w:after="240" w:line="259" w:lineRule="auto"/>
      <w:outlineLvl w:val="9"/>
    </w:pPr>
    <w:rPr>
      <w:lang w:val="en-US" w:eastAsia="en-US"/>
    </w:rPr>
  </w:style>
  <w:style w:type="character" w:customStyle="1" w:styleId="Heading2Char">
    <w:name w:val="Heading 2 Char"/>
    <w:basedOn w:val="DefaultParagraphFont"/>
    <w:link w:val="Heading2"/>
    <w:uiPriority w:val="9"/>
    <w:rsid w:val="00A0583D"/>
    <w:rPr>
      <w:rFonts w:ascii="Arial" w:eastAsiaTheme="majorEastAsia" w:hAnsi="Arial" w:cs="Arial"/>
      <w:b/>
      <w:lang w:eastAsia="zh-CN"/>
    </w:rPr>
  </w:style>
  <w:style w:type="paragraph" w:styleId="TOC1">
    <w:name w:val="toc 1"/>
    <w:basedOn w:val="Normal"/>
    <w:next w:val="Normal"/>
    <w:autoRedefine/>
    <w:uiPriority w:val="39"/>
    <w:unhideWhenUsed/>
    <w:rsid w:val="00EE51CB"/>
    <w:pPr>
      <w:tabs>
        <w:tab w:val="left" w:pos="426"/>
        <w:tab w:val="right" w:leader="dot" w:pos="9060"/>
      </w:tabs>
      <w:spacing w:after="100"/>
    </w:pPr>
  </w:style>
  <w:style w:type="paragraph" w:styleId="TOC2">
    <w:name w:val="toc 2"/>
    <w:basedOn w:val="Normal"/>
    <w:next w:val="Normal"/>
    <w:autoRedefine/>
    <w:uiPriority w:val="39"/>
    <w:unhideWhenUsed/>
    <w:rsid w:val="00EE51CB"/>
    <w:pPr>
      <w:tabs>
        <w:tab w:val="left" w:pos="993"/>
        <w:tab w:val="right" w:leader="dot" w:pos="9060"/>
      </w:tabs>
      <w:spacing w:after="100"/>
      <w:ind w:left="426"/>
    </w:pPr>
  </w:style>
  <w:style w:type="character" w:customStyle="1" w:styleId="Heading3Char">
    <w:name w:val="Heading 3 Char"/>
    <w:basedOn w:val="DefaultParagraphFont"/>
    <w:link w:val="Heading3"/>
    <w:uiPriority w:val="9"/>
    <w:rsid w:val="00687A87"/>
    <w:rPr>
      <w:rFonts w:ascii="Arial" w:eastAsiaTheme="majorEastAsia" w:hAnsi="Arial" w:cs="Arial"/>
      <w:b/>
      <w:sz w:val="20"/>
      <w:szCs w:val="20"/>
      <w:lang w:eastAsia="zh-CN"/>
    </w:rPr>
  </w:style>
  <w:style w:type="paragraph" w:styleId="TOC3">
    <w:name w:val="toc 3"/>
    <w:basedOn w:val="Normal"/>
    <w:next w:val="Normal"/>
    <w:autoRedefine/>
    <w:uiPriority w:val="39"/>
    <w:unhideWhenUsed/>
    <w:rsid w:val="00687A87"/>
    <w:pPr>
      <w:spacing w:after="100"/>
      <w:ind w:left="400"/>
    </w:pPr>
  </w:style>
  <w:style w:type="character" w:styleId="UnresolvedMention">
    <w:name w:val="Unresolved Mention"/>
    <w:basedOn w:val="DefaultParagraphFont"/>
    <w:uiPriority w:val="99"/>
    <w:semiHidden/>
    <w:unhideWhenUsed/>
    <w:rsid w:val="009A3F2A"/>
    <w:rPr>
      <w:color w:val="605E5C"/>
      <w:shd w:val="clear" w:color="auto" w:fill="E1DFDD"/>
    </w:rPr>
  </w:style>
  <w:style w:type="character" w:styleId="FollowedHyperlink">
    <w:name w:val="FollowedHyperlink"/>
    <w:basedOn w:val="DefaultParagraphFont"/>
    <w:uiPriority w:val="99"/>
    <w:semiHidden/>
    <w:unhideWhenUsed/>
    <w:rsid w:val="008C1D9C"/>
    <w:rPr>
      <w:color w:val="800080" w:themeColor="followedHyperlink"/>
      <w:u w:val="single"/>
    </w:rPr>
  </w:style>
  <w:style w:type="character" w:customStyle="1" w:styleId="ListParagraphChar">
    <w:name w:val="List Paragraph Char"/>
    <w:basedOn w:val="DefaultParagraphFont"/>
    <w:link w:val="ListParagraph"/>
    <w:uiPriority w:val="34"/>
    <w:rsid w:val="00936C87"/>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elp.chi.ac.uk/hear-higher-education-achievement-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D4EDA9F144FE0A5399CEB22E6CBBB"/>
        <w:category>
          <w:name w:val="General"/>
          <w:gallery w:val="placeholder"/>
        </w:category>
        <w:types>
          <w:type w:val="bbPlcHdr"/>
        </w:types>
        <w:behaviors>
          <w:behavior w:val="content"/>
        </w:behaviors>
        <w:guid w:val="{F968372C-12EF-4904-B328-6A654F7C2A40}"/>
      </w:docPartPr>
      <w:docPartBody>
        <w:p w:rsidR="00A13D6D" w:rsidRDefault="00A13D6D" w:rsidP="00A13D6D">
          <w:pPr>
            <w:pStyle w:val="D2ED4EDA9F144FE0A5399CEB22E6CBBB"/>
          </w:pPr>
          <w:r w:rsidRPr="00872C27">
            <w:rPr>
              <w:rStyle w:val="PlaceholderText"/>
            </w:rPr>
            <w:t>Click or tap here to enter text.</w:t>
          </w:r>
        </w:p>
      </w:docPartBody>
    </w:docPart>
    <w:docPart>
      <w:docPartPr>
        <w:name w:val="E07A3CB1A0134B6E8401F39661E8BE29"/>
        <w:category>
          <w:name w:val="General"/>
          <w:gallery w:val="placeholder"/>
        </w:category>
        <w:types>
          <w:type w:val="bbPlcHdr"/>
        </w:types>
        <w:behaviors>
          <w:behavior w:val="content"/>
        </w:behaviors>
        <w:guid w:val="{EDDB2047-EFA2-4C47-A40C-6D8828AB04C0}"/>
      </w:docPartPr>
      <w:docPartBody>
        <w:p w:rsidR="00A13D6D" w:rsidRDefault="00A13D6D" w:rsidP="00A13D6D">
          <w:pPr>
            <w:pStyle w:val="E07A3CB1A0134B6E8401F39661E8BE29"/>
          </w:pPr>
          <w:r w:rsidRPr="00872C27">
            <w:rPr>
              <w:rStyle w:val="PlaceholderText"/>
            </w:rPr>
            <w:t>Click or tap here to enter text.</w:t>
          </w:r>
        </w:p>
      </w:docPartBody>
    </w:docPart>
    <w:docPart>
      <w:docPartPr>
        <w:name w:val="14BB979B70A341B19E551F4571761C1D"/>
        <w:category>
          <w:name w:val="General"/>
          <w:gallery w:val="placeholder"/>
        </w:category>
        <w:types>
          <w:type w:val="bbPlcHdr"/>
        </w:types>
        <w:behaviors>
          <w:behavior w:val="content"/>
        </w:behaviors>
        <w:guid w:val="{E000D006-A054-4805-8032-CED4AEC576C6}"/>
      </w:docPartPr>
      <w:docPartBody>
        <w:p w:rsidR="00A13D6D" w:rsidRDefault="00A13D6D" w:rsidP="00A13D6D">
          <w:pPr>
            <w:pStyle w:val="14BB979B70A341B19E551F4571761C1D"/>
          </w:pPr>
          <w:r w:rsidRPr="00872C27">
            <w:rPr>
              <w:rStyle w:val="PlaceholderText"/>
            </w:rPr>
            <w:t>Click or tap to enter a date.</w:t>
          </w:r>
        </w:p>
      </w:docPartBody>
    </w:docPart>
    <w:docPart>
      <w:docPartPr>
        <w:name w:val="E8FCB287238D4CE4BDD82E48EF72DDFE"/>
        <w:category>
          <w:name w:val="General"/>
          <w:gallery w:val="placeholder"/>
        </w:category>
        <w:types>
          <w:type w:val="bbPlcHdr"/>
        </w:types>
        <w:behaviors>
          <w:behavior w:val="content"/>
        </w:behaviors>
        <w:guid w:val="{353EA64B-E9A2-4E7B-8783-1988F0ED6CC3}"/>
      </w:docPartPr>
      <w:docPartBody>
        <w:p w:rsidR="00A13D6D" w:rsidRDefault="00A13D6D" w:rsidP="00A13D6D">
          <w:pPr>
            <w:pStyle w:val="E8FCB287238D4CE4BDD82E48EF72DDFE"/>
          </w:pPr>
          <w:r w:rsidRPr="00872C27">
            <w:rPr>
              <w:rStyle w:val="PlaceholderText"/>
            </w:rPr>
            <w:t>Click or tap to enter a date.</w:t>
          </w:r>
        </w:p>
      </w:docPartBody>
    </w:docPart>
    <w:docPart>
      <w:docPartPr>
        <w:name w:val="925C253C55E64010A1924BB3E8F00B4F"/>
        <w:category>
          <w:name w:val="General"/>
          <w:gallery w:val="placeholder"/>
        </w:category>
        <w:types>
          <w:type w:val="bbPlcHdr"/>
        </w:types>
        <w:behaviors>
          <w:behavior w:val="content"/>
        </w:behaviors>
        <w:guid w:val="{2B7FBD1D-79B0-408F-83DF-7488D40D73E4}"/>
      </w:docPartPr>
      <w:docPartBody>
        <w:p w:rsidR="00A13D6D" w:rsidRDefault="00A13D6D" w:rsidP="00A13D6D">
          <w:pPr>
            <w:pStyle w:val="925C253C55E64010A1924BB3E8F00B4F"/>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anist777BT-LightB">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D"/>
    <w:rsid w:val="0051113D"/>
    <w:rsid w:val="00A1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D6D"/>
    <w:rPr>
      <w:color w:val="808080"/>
    </w:rPr>
  </w:style>
  <w:style w:type="paragraph" w:customStyle="1" w:styleId="D2ED4EDA9F144FE0A5399CEB22E6CBBB">
    <w:name w:val="D2ED4EDA9F144FE0A5399CEB22E6CBBB"/>
    <w:rsid w:val="00A13D6D"/>
  </w:style>
  <w:style w:type="paragraph" w:customStyle="1" w:styleId="E07A3CB1A0134B6E8401F39661E8BE29">
    <w:name w:val="E07A3CB1A0134B6E8401F39661E8BE29"/>
    <w:rsid w:val="00A13D6D"/>
  </w:style>
  <w:style w:type="paragraph" w:customStyle="1" w:styleId="14BB979B70A341B19E551F4571761C1D">
    <w:name w:val="14BB979B70A341B19E551F4571761C1D"/>
    <w:rsid w:val="00A13D6D"/>
  </w:style>
  <w:style w:type="paragraph" w:customStyle="1" w:styleId="E8FCB287238D4CE4BDD82E48EF72DDFE">
    <w:name w:val="E8FCB287238D4CE4BDD82E48EF72DDFE"/>
    <w:rsid w:val="00A13D6D"/>
  </w:style>
  <w:style w:type="paragraph" w:customStyle="1" w:styleId="925C253C55E64010A1924BB3E8F00B4F">
    <w:name w:val="925C253C55E64010A1924BB3E8F00B4F"/>
    <w:rsid w:val="00A13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3DFA-C6B2-43CC-A9AD-6FBE0BBE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Akerman</dc:creator>
  <cp:lastModifiedBy>Vanessa Church</cp:lastModifiedBy>
  <cp:revision>2</cp:revision>
  <cp:lastPrinted>2019-02-05T11:14:00Z</cp:lastPrinted>
  <dcterms:created xsi:type="dcterms:W3CDTF">2021-08-24T14:57:00Z</dcterms:created>
  <dcterms:modified xsi:type="dcterms:W3CDTF">2021-08-24T14:57:00Z</dcterms:modified>
</cp:coreProperties>
</file>